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Security APAC v2.1</w:t>
      </w:r>
    </w:p>
    <w:p>
      <w:r>
        <w:t>Department: Security</w:t>
      </w:r>
    </w:p>
    <w:p>
      <w:r>
        <w:t>Author: Avery Garcia</w:t>
      </w:r>
    </w:p>
    <w:p>
      <w:r>
        <w:t>Created date: 2026-03-01</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Risk acceptance must be documented and revalidated each quarter. Escalations should follow the on-call rotation with a response target of 30 minutes. Teams must log requests in SAP and track outcomes in Identity Access Gateway for audit readiness.</w:t>
      </w:r>
    </w:p>
    <w:p>
      <w:r>
        <w:t>We prioritize customer impact, data integrity, and regulatory alignment. All changes require peer review and validation in the Identity Access Gateway before production promotion.</w:t>
      </w:r>
    </w:p>
    <w:p>
      <w:pPr>
        <w:pStyle w:val="ListBullet"/>
      </w:pPr>
      <w:r>
        <w:t>The process integrates with Identity Access Gateway and depends on Redis for telemetry signals.</w:t>
      </w:r>
    </w:p>
    <w:p>
      <w:pPr>
        <w:pStyle w:val="ListBullet"/>
      </w:pPr>
      <w:r>
        <w:t>All incidents are tagged with severity and mapped to service tiers.</w:t>
      </w:r>
    </w:p>
    <w:p>
      <w:pPr>
        <w:pStyle w:val="ListBullet"/>
      </w:pPr>
      <w:r>
        <w:t>This document aligns with GDPR requirements and supports APAC data residency expectations.</w:t>
      </w:r>
    </w:p>
    <w:p>
      <w:pPr>
        <w:pStyle w:val="ListBullet"/>
      </w:pPr>
      <w:r>
        <w:t>The Security organization uses Redis to enforce consistent service baselines.</w:t>
      </w:r>
    </w:p>
    <w:p>
      <w:pPr>
        <w:pStyle w:val="ListBullet"/>
      </w:pPr>
      <w:r>
        <w:t>This document aligns with GDPR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Compliance Manager</w:t>
            </w:r>
          </w:p>
        </w:tc>
        <w:tc>
          <w:tcPr>
            <w:tcW w:type="dxa" w:w="2880"/>
          </w:tcPr>
          <w:p>
            <w:r>
              <w:t>Planned</w:t>
            </w:r>
          </w:p>
        </w:tc>
      </w:tr>
      <w:tr>
        <w:tc>
          <w:tcPr>
            <w:tcW w:type="dxa" w:w="2880"/>
          </w:tcPr>
          <w:p>
            <w:r>
              <w:t>Access review</w:t>
            </w:r>
          </w:p>
        </w:tc>
        <w:tc>
          <w:tcPr>
            <w:tcW w:type="dxa" w:w="2880"/>
          </w:tcPr>
          <w:p>
            <w:r>
              <w:t>Security</w:t>
            </w:r>
          </w:p>
        </w:tc>
        <w:tc>
          <w:tcPr>
            <w:tcW w:type="dxa" w:w="2880"/>
          </w:tcPr>
          <w:p>
            <w:r>
              <w:t>Complete</w:t>
            </w:r>
          </w:p>
        </w:tc>
      </w:tr>
      <w:tr>
        <w:tc>
          <w:tcPr>
            <w:tcW w:type="dxa" w:w="2880"/>
          </w:tcPr>
          <w:p>
            <w:r>
              <w:t>Incident drill</w:t>
            </w:r>
          </w:p>
        </w:tc>
        <w:tc>
          <w:tcPr>
            <w:tcW w:type="dxa" w:w="2880"/>
          </w:tcPr>
          <w:p>
            <w:r>
              <w:t>Security</w:t>
            </w:r>
          </w:p>
        </w:tc>
        <w:tc>
          <w:tcPr>
            <w:tcW w:type="dxa" w:w="2880"/>
          </w:tcPr>
          <w:p>
            <w:r>
              <w:t>Complete</w:t>
            </w:r>
          </w:p>
        </w:tc>
      </w:tr>
      <w:tr>
        <w:tc>
          <w:tcPr>
            <w:tcW w:type="dxa" w:w="2880"/>
          </w:tcPr>
          <w:p>
            <w:r>
              <w:t>Patch window</w:t>
            </w:r>
          </w:p>
        </w:tc>
        <w:tc>
          <w:tcPr>
            <w:tcW w:type="dxa" w:w="2880"/>
          </w:tcPr>
          <w:p>
            <w:r>
              <w:t>Compliance Manager</w:t>
            </w:r>
          </w:p>
        </w:tc>
        <w:tc>
          <w:tcPr>
            <w:tcW w:type="dxa" w:w="2880"/>
          </w:tcPr>
          <w:p>
            <w:r>
              <w:t>Blocked</w:t>
            </w:r>
          </w:p>
        </w:tc>
      </w:tr>
    </w:tbl>
    <w:p>
      <w:pPr>
        <w:pStyle w:val="Heading1"/>
      </w:pPr>
      <w:r>
        <w:t>Vendor Selection</w:t>
      </w:r>
    </w:p>
    <w:p>
      <w:r>
        <w:t>The process integrates with Identity Access Gateway and depends on Redis for telemetry signals. Escalations should follow the on-call rotation with a response target of 30 minutes.</w:t>
      </w:r>
    </w:p>
    <w:p>
      <w:r>
        <w:t>Stakeholders include the Compliance Manager, service owner, and compliance lead for approvals. Stakeholders include the Compliance Manager, service owner, and compliance lead for approvals.</w:t>
      </w:r>
    </w:p>
    <w:p>
      <w:pPr>
        <w:pStyle w:val="ListBullet"/>
      </w:pPr>
      <w:r>
        <w:t>Evidence artifacts are retained in SAP for at least 18 months.</w:t>
      </w:r>
    </w:p>
    <w:p>
      <w:pPr>
        <w:pStyle w:val="ListBullet"/>
      </w:pPr>
      <w:r>
        <w:t>Teams must log requests in SAP and track outcomes in Identity Access Gateway for audit readiness.</w:t>
      </w:r>
    </w:p>
    <w:p>
      <w:pPr>
        <w:pStyle w:val="ListBullet"/>
      </w:pPr>
      <w:r>
        <w:t>The Security team coordinates with Compliance Manager to maintain operational readiness.</w:t>
      </w:r>
    </w:p>
    <w:p>
      <w:pPr>
        <w:pStyle w:val="ListBullet"/>
      </w:pPr>
      <w:r>
        <w:t>Risk acceptance must be documented and revalidated each quarter.</w:t>
      </w:r>
    </w:p>
    <w:p>
      <w:pPr>
        <w:pStyle w:val="Heading1"/>
      </w:pPr>
      <w:r>
        <w:t>Contract Review</w:t>
      </w:r>
    </w:p>
    <w:p>
      <w:r>
        <w:t>The Security team coordinates with Compliance Manager to maintain operational readiness. Regional teams in APAC follow the same policy with localized legal review. The Security team coordinates with Compliance Manager to maintain operational readiness. The Security team coordinates with Compliance Manager to maintain operational readiness.</w:t>
      </w:r>
    </w:p>
    <w:p>
      <w:pPr>
        <w:pStyle w:val="ListBullet"/>
      </w:pPr>
      <w:r>
        <w:t>Regional teams in APAC follow the same policy with localized legal review.</w:t>
      </w:r>
    </w:p>
    <w:p>
      <w:pPr>
        <w:pStyle w:val="ListBullet"/>
      </w:pPr>
      <w:r>
        <w:t>Evidence artifacts are retained in SAP for at least 18 months.</w:t>
      </w:r>
    </w:p>
    <w:p>
      <w:pPr>
        <w:pStyle w:val="ListBullet"/>
      </w:pPr>
      <w:r>
        <w:t>Stakeholders include the Compliance Manager, service owner, and compliance lead for approvals.</w:t>
      </w:r>
    </w:p>
    <w:p>
      <w:pPr>
        <w:pStyle w:val="ListBullet"/>
      </w:pPr>
      <w:r>
        <w:t>The process integrates with Identity Access Gateway and depends on Redis for telemetry signals.</w:t>
      </w:r>
    </w:p>
    <w:p>
      <w:pPr>
        <w:pStyle w:val="ListBullet"/>
      </w:pPr>
      <w:r>
        <w:t>Regional teams in APAC follow the same policy with localized legal review.</w:t>
      </w:r>
    </w:p>
    <w:p>
      <w:pPr>
        <w:pStyle w:val="ListBullet"/>
      </w:pPr>
      <w:r>
        <w:t>We prioritize customer impact, data integrity, and regulatory alignment.</w:t>
      </w:r>
    </w:p>
    <w:p>
      <w:pPr>
        <w:pStyle w:val="Heading1"/>
      </w:pPr>
      <w:r>
        <w:t>Purchase Order</w:t>
      </w:r>
    </w:p>
    <w:p>
      <w:r>
        <w:t>Escalations should follow the on-call rotation with a response target of 30 minutes. The Security organization uses Redis to enforce consistent service baselines.</w:t>
      </w:r>
    </w:p>
    <w:p>
      <w:r>
        <w:t>Regional teams in APAC follow the same policy with localized legal review. We prioritize customer impact, data integrity, and regulatory alignment. Escalations should follow the on-call rotation with a response target of 30 minutes.</w:t>
      </w:r>
    </w:p>
    <w:p>
      <w:pPr>
        <w:pStyle w:val="ListBullet"/>
      </w:pPr>
      <w:r>
        <w:t>All changes require peer review and validation in the Identity Access Gateway before production promotion.</w:t>
      </w:r>
    </w:p>
    <w:p>
      <w:pPr>
        <w:pStyle w:val="ListBullet"/>
      </w:pPr>
      <w:r>
        <w:t>Stakeholders include the Compliance Manager, service owner, and compliance lead for approvals.</w:t>
      </w:r>
    </w:p>
    <w:p>
      <w:pPr>
        <w:pStyle w:val="ListBullet"/>
      </w:pPr>
      <w:r>
        <w:t>The Security organization uses Redis to enforce consistent service baselines.</w:t>
      </w:r>
    </w:p>
    <w:p>
      <w:pPr>
        <w:pStyle w:val="Heading1"/>
      </w:pPr>
      <w:r>
        <w:t>Renewal and Termination</w:t>
      </w:r>
    </w:p>
    <w:p>
      <w:r>
        <w:t>This document aligns with GDPR requirements and supports APAC data residency expectations. Systems are monitored via Redis and alert routing in SAP. Stakeholders include the Compliance Manager, service owner, and compliance lead for approvals.</w:t>
      </w:r>
    </w:p>
    <w:p>
      <w:pPr>
        <w:pStyle w:val="ListBullet"/>
      </w:pPr>
      <w:r>
        <w:t>The process integrates with Identity Access Gateway and depends on Redis for telemetry signals.</w:t>
      </w:r>
    </w:p>
    <w:p>
      <w:pPr>
        <w:pStyle w:val="ListBullet"/>
      </w:pPr>
      <w:r>
        <w:t>Systems are monitored via Redis and alert routing in SAP.</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