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Procurement Policies - Security EU v2.1</w:t>
      </w:r>
    </w:p>
    <w:p>
      <w:r>
        <w:t>Department: Security</w:t>
      </w:r>
    </w:p>
    <w:p>
      <w:r>
        <w:t>Author: Alex Smith</w:t>
      </w:r>
    </w:p>
    <w:p>
      <w:r>
        <w:t>Created date: 2026-04-27</w:t>
      </w:r>
    </w:p>
    <w:p>
      <w:r>
        <w:t>Region: EU</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Procurement Scope</w:t>
      </w:r>
    </w:p>
    <w:p>
      <w:r>
        <w:t>This document aligns with SOX requirements and supports EU data residency expectations. The Security organization uses Azure to enforce consistent service baselines. Audit sampling occurs monthly and is summarized in leadership dashboards. Audit sampling occurs monthly and is summarized in leadership dashboards.</w:t>
      </w:r>
    </w:p>
    <w:p>
      <w:r>
        <w:t>Evidence artifacts are retained in Microsoft 365 for at least 18 months. Audit sampling occurs monthly and is summarized in leadership dashboards. Regional teams in EU follow the same policy with localized legal review.</w:t>
      </w:r>
    </w:p>
    <w:p>
      <w:pPr>
        <w:pStyle w:val="ListBullet"/>
      </w:pPr>
      <w:r>
        <w:t>Systems are monitored via Azure and alert routing in Microsoft 365.</w:t>
      </w:r>
    </w:p>
    <w:p>
      <w:pPr>
        <w:pStyle w:val="ListBullet"/>
      </w:pPr>
      <w:r>
        <w:t>All incidents are tagged with severity and mapped to service tiers.</w:t>
      </w:r>
    </w:p>
    <w:p>
      <w:pPr>
        <w:pStyle w:val="ListBullet"/>
      </w:pPr>
      <w:r>
        <w:t>Evidence artifacts are retained in Microsoft 365 for at least 18 months.</w:t>
      </w:r>
    </w:p>
    <w:p>
      <w:pPr>
        <w:pStyle w:val="ListBullet"/>
      </w:pPr>
      <w:r>
        <w:t>We prioritize customer impact, data integrity, and regulatory alignment.</w:t>
      </w:r>
    </w:p>
    <w:p>
      <w:pPr>
        <w:pStyle w:val="ListBullet"/>
      </w:pPr>
      <w:r>
        <w:t>Systems are monitored via Azure and alert routing in Microsoft 365.</w:t>
      </w:r>
    </w:p>
    <w:p>
      <w:pPr>
        <w:pStyle w:val="Heading1"/>
      </w:pPr>
      <w:r>
        <w:t>Vendor Selection</w:t>
      </w:r>
    </w:p>
    <w:p>
      <w:r>
        <w:t>Teams must log requests in Microsoft 365 and track outcomes in CI/CD Pipeline for audit readiness. The Security team coordinates with Platform Engineer to maintain operational readiness. This document aligns with SOX requirements and supports EU data residency expectations. We prioritize customer impact, data integrity, and regulatory alignment.</w:t>
      </w:r>
    </w:p>
    <w:p>
      <w:r>
        <w:t>All incidents are tagged with severity and mapped to service tiers. All changes require peer review and validation in the CI/CD Pipeline before production promotion. Escalations should follow the on-call rotation with a response target of 60 minutes. Stakeholders include the Platform Engineer, service owner, and compliance lead for approvals.</w:t>
      </w:r>
    </w:p>
    <w:p>
      <w:pPr>
        <w:pStyle w:val="ListBullet"/>
      </w:pPr>
      <w:r>
        <w:t>Audit sampling occurs monthly and is summarized in leadership dashboards.</w:t>
      </w:r>
    </w:p>
    <w:p>
      <w:pPr>
        <w:pStyle w:val="ListBullet"/>
      </w:pPr>
      <w:r>
        <w:t>Systems are monitored via Azure and alert routing in Microsoft 365.</w:t>
      </w:r>
    </w:p>
    <w:p>
      <w:pPr>
        <w:pStyle w:val="ListBullet"/>
      </w:pPr>
      <w:r>
        <w:t>Audit sampling occurs monthly and is summarized in leadership dashboards.</w:t>
      </w:r>
    </w:p>
    <w:p>
      <w:pPr>
        <w:pStyle w:val="ListBullet"/>
      </w:pPr>
      <w:r>
        <w:t>We prioritize customer impact, data integrity, and regulatory alignment.</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Security</w:t>
            </w:r>
          </w:p>
        </w:tc>
        <w:tc>
          <w:tcPr>
            <w:tcW w:type="dxa" w:w="2880"/>
          </w:tcPr>
          <w:p>
            <w:r>
              <w:t>Blocked</w:t>
            </w:r>
          </w:p>
        </w:tc>
      </w:tr>
      <w:tr>
        <w:tc>
          <w:tcPr>
            <w:tcW w:type="dxa" w:w="2880"/>
          </w:tcPr>
          <w:p>
            <w:r>
              <w:t>Patch window</w:t>
            </w:r>
          </w:p>
        </w:tc>
        <w:tc>
          <w:tcPr>
            <w:tcW w:type="dxa" w:w="2880"/>
          </w:tcPr>
          <w:p>
            <w:r>
              <w:t>Security</w:t>
            </w:r>
          </w:p>
        </w:tc>
        <w:tc>
          <w:tcPr>
            <w:tcW w:type="dxa" w:w="2880"/>
          </w:tcPr>
          <w:p>
            <w:r>
              <w:t>In Progress</w:t>
            </w:r>
          </w:p>
        </w:tc>
      </w:tr>
      <w:tr>
        <w:tc>
          <w:tcPr>
            <w:tcW w:type="dxa" w:w="2880"/>
          </w:tcPr>
          <w:p>
            <w:r>
              <w:t>Incident drill</w:t>
            </w:r>
          </w:p>
        </w:tc>
        <w:tc>
          <w:tcPr>
            <w:tcW w:type="dxa" w:w="2880"/>
          </w:tcPr>
          <w:p>
            <w:r>
              <w:t>Operations</w:t>
            </w:r>
          </w:p>
        </w:tc>
        <w:tc>
          <w:tcPr>
            <w:tcW w:type="dxa" w:w="2880"/>
          </w:tcPr>
          <w:p>
            <w:r>
              <w:t>Planned</w:t>
            </w:r>
          </w:p>
        </w:tc>
      </w:tr>
      <w:tr>
        <w:tc>
          <w:tcPr>
            <w:tcW w:type="dxa" w:w="2880"/>
          </w:tcPr>
          <w:p>
            <w:r>
              <w:t>Incident drill</w:t>
            </w:r>
          </w:p>
        </w:tc>
        <w:tc>
          <w:tcPr>
            <w:tcW w:type="dxa" w:w="2880"/>
          </w:tcPr>
          <w:p>
            <w:r>
              <w:t>Operations</w:t>
            </w:r>
          </w:p>
        </w:tc>
        <w:tc>
          <w:tcPr>
            <w:tcW w:type="dxa" w:w="2880"/>
          </w:tcPr>
          <w:p>
            <w:r>
              <w:t>Complete</w:t>
            </w:r>
          </w:p>
        </w:tc>
      </w:tr>
    </w:tbl>
    <w:p>
      <w:pPr>
        <w:pStyle w:val="Heading1"/>
      </w:pPr>
      <w:r>
        <w:t>Contract Review</w:t>
      </w:r>
    </w:p>
    <w:p>
      <w:r>
        <w:t>We prioritize customer impact, data integrity, and regulatory alignment. All incidents are tagged with severity and mapped to service tiers.</w:t>
      </w:r>
    </w:p>
    <w:p>
      <w:pPr>
        <w:pStyle w:val="ListBullet"/>
      </w:pPr>
      <w:r>
        <w:t>Regional teams in EU follow the same policy with localized legal review.</w:t>
      </w:r>
    </w:p>
    <w:p>
      <w:pPr>
        <w:pStyle w:val="ListBullet"/>
      </w:pPr>
      <w:r>
        <w:t>Risk acceptance must be documented and revalidated each quarter.</w:t>
      </w:r>
    </w:p>
    <w:p>
      <w:pPr>
        <w:pStyle w:val="ListBullet"/>
      </w:pPr>
      <w:r>
        <w:t>Evidence artifacts are retained in Microsoft 365 for at least 18 months.</w:t>
      </w:r>
    </w:p>
    <w:p>
      <w:pPr>
        <w:pStyle w:val="ListBullet"/>
      </w:pPr>
      <w:r>
        <w:t>Teams must log requests in Microsoft 365 and track outcomes in CI/CD Pipeline for audit readiness.</w:t>
      </w:r>
    </w:p>
    <w:p>
      <w:pPr>
        <w:pStyle w:val="Heading1"/>
      </w:pPr>
      <w:r>
        <w:t>Purchase Order</w:t>
      </w:r>
    </w:p>
    <w:p>
      <w:r>
        <w:t>Risk acceptance must be documented and revalidated each quarter. Teams must log requests in Microsoft 365 and track outcomes in CI/CD Pipeline for audit readiness. Stakeholders include the Platform Engineer, service owner, and compliance lead for approvals.</w:t>
      </w:r>
    </w:p>
    <w:p>
      <w:r>
        <w:t>All changes require peer review and validation in the CI/CD Pipeline before production promotion. Evidence artifacts are retained in Microsoft 365 for at least 18 months.</w:t>
      </w:r>
    </w:p>
    <w:p>
      <w:pPr>
        <w:pStyle w:val="ListBullet"/>
      </w:pPr>
      <w:r>
        <w:t>This document aligns with SOX requirements and supports EU data residency expectations.</w:t>
      </w:r>
    </w:p>
    <w:p>
      <w:pPr>
        <w:pStyle w:val="ListBullet"/>
      </w:pPr>
      <w:r>
        <w:t>This document aligns with SOX requirements and supports EU data residency expectations.</w:t>
      </w:r>
    </w:p>
    <w:p>
      <w:pPr>
        <w:pStyle w:val="ListBullet"/>
      </w:pPr>
      <w:r>
        <w:t>Stakeholders include the Platform Engineer, service owner, and compliance lead for approvals.</w:t>
      </w:r>
    </w:p>
    <w:p>
      <w:pPr>
        <w:pStyle w:val="ListBullet"/>
      </w:pPr>
      <w:r>
        <w:t>Evidence artifacts are retained in Microsoft 365 for at least 18 months.</w:t>
      </w:r>
    </w:p>
    <w:p>
      <w:pPr>
        <w:pStyle w:val="Heading1"/>
      </w:pPr>
      <w:r>
        <w:t>Renewal and Termination</w:t>
      </w:r>
    </w:p>
    <w:p>
      <w:r>
        <w:t>We prioritize customer impact, data integrity, and regulatory alignment. The Security team coordinates with Platform Engineer to maintain operational readiness. This document aligns with SOX requirements and supports EU data residency expectations. Systems are monitored via Azure and alert routing in Microsoft 365.</w:t>
      </w:r>
    </w:p>
    <w:p>
      <w:r>
        <w:t>The Security team coordinates with Platform Engineer to maintain operational readiness. We prioritize customer impact, data integrity, and regulatory alignment.</w:t>
      </w:r>
    </w:p>
    <w:p>
      <w:pPr>
        <w:pStyle w:val="ListBullet"/>
      </w:pPr>
      <w:r>
        <w:t>We prioritize customer impact, data integrity, and regulatory alignment.</w:t>
      </w:r>
    </w:p>
    <w:p>
      <w:pPr>
        <w:pStyle w:val="ListBullet"/>
      </w:pPr>
      <w:r>
        <w:t>Regional teams in EU follow the same policy with localized legal review.</w:t>
      </w:r>
    </w:p>
    <w:p>
      <w:pPr>
        <w:pStyle w:val="ListBullet"/>
      </w:pPr>
      <w:r>
        <w:t>Audit sampling occurs monthly and is summarized in leadership dashboards.</w:t>
      </w:r>
    </w:p>
    <w:p>
      <w:pPr>
        <w:pStyle w:val="ListBullet"/>
      </w:pPr>
      <w:r>
        <w:t>All incidents are tagged with severity and mapped to service tiers.</w:t>
      </w:r>
    </w:p>
    <w:p>
      <w:pPr>
        <w:pStyle w:val="ListBullet"/>
      </w:pPr>
      <w:r>
        <w:t>Escalations should follow the on-call rotation with a response target of 60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