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Cloud Infrastructure APAC v1.2</w:t>
      </w:r>
    </w:p>
    <w:p>
      <w:r>
        <w:t>Department: Cloud Infrastructure</w:t>
      </w:r>
    </w:p>
    <w:p>
      <w:r>
        <w:t>Author: Casey Garcia</w:t>
      </w:r>
    </w:p>
    <w:p>
      <w:r>
        <w:t>Created date: 2024-09-25</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All changes require peer review and validation in the Identity Access Gateway before production promotion. Regional teams in APAC follow the same policy with localized legal review.</w:t>
      </w:r>
    </w:p>
    <w:p>
      <w:pPr>
        <w:pStyle w:val="ListBullet"/>
      </w:pPr>
      <w:r>
        <w:t>We prioritize customer impact, data integrity, and regulatory alignment.</w:t>
      </w:r>
    </w:p>
    <w:p>
      <w:pPr>
        <w:pStyle w:val="ListBullet"/>
      </w:pPr>
      <w:r>
        <w:t>Teams must log requests in Confluence and track outcomes in Identity Access Gateway for audit readiness.</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Teams must log requests in Confluence and track outcomes in Identity Access Gateway for audit readiness.</w:t>
      </w:r>
    </w:p>
    <w:p>
      <w:pPr>
        <w:pStyle w:val="Heading1"/>
      </w:pPr>
      <w:r>
        <w:t>Installation</w:t>
      </w:r>
    </w:p>
    <w:p>
      <w:r>
        <w:t>All incidents are tagged with severity and mapped to service tiers. All incidents are tagged with severity and mapped to service tiers.</w:t>
      </w:r>
    </w:p>
    <w:p>
      <w:r>
        <w:t>Audit sampling occurs monthly and is summarized in leadership dashboards. The process integrates with Identity Access Gateway and depends on Kubernetes for telemetry signals.</w:t>
      </w:r>
    </w:p>
    <w:p>
      <w:pPr>
        <w:pStyle w:val="ListBullet"/>
      </w:pPr>
      <w:r>
        <w:t>All incidents are tagged with severity and mapped to service tiers.</w:t>
      </w:r>
    </w:p>
    <w:p>
      <w:pPr>
        <w:pStyle w:val="ListBullet"/>
      </w:pPr>
      <w:r>
        <w:t>Systems are monitored via Kubernetes and alert routing in Confluence.</w:t>
      </w:r>
    </w:p>
    <w:p>
      <w:pPr>
        <w:pStyle w:val="ListBullet"/>
      </w:pPr>
      <w:r>
        <w:t>All incidents are tagged with severity and mapped to service tiers.</w:t>
      </w:r>
    </w:p>
    <w:p>
      <w:pPr>
        <w:pStyle w:val="Heading1"/>
      </w:pPr>
      <w:r>
        <w:t>Configuration</w:t>
      </w:r>
    </w:p>
    <w:p>
      <w:r>
        <w:t>All changes require peer review and validation in the Identity Access Gateway before production promotion. All incidents are tagged with severity and mapped to service tiers. Risk acceptance must be documented and revalidated each quarter.</w:t>
      </w:r>
    </w:p>
    <w:p>
      <w:r>
        <w:t>The Cloud Infrastructure organization uses Kubernetes to enforce consistent service baselines. Regional teams in APAC follow the same policy with localized legal review. Stakeholders include the HR Business Partner, service owner, and compliance lead for approvals. Systems are monitored via Kubernetes and alert routing in Confluence.</w:t>
      </w:r>
    </w:p>
    <w:p>
      <w:pPr>
        <w:pStyle w:val="ListBullet"/>
      </w:pPr>
      <w:r>
        <w:t>Escalations should follow the on-call rotation with a response target of 30 minutes.</w:t>
      </w:r>
    </w:p>
    <w:p>
      <w:pPr>
        <w:pStyle w:val="ListBullet"/>
      </w:pPr>
      <w:r>
        <w:t>Systems are monitored via Kubernetes and alert routing in Confluence.</w:t>
      </w:r>
    </w:p>
    <w:p>
      <w:pPr>
        <w:pStyle w:val="ListBullet"/>
      </w:pPr>
      <w:r>
        <w:t>Systems are monitored via Kubernetes and alert routing in Confluence.</w:t>
      </w:r>
    </w:p>
    <w:p>
      <w:pPr>
        <w:pStyle w:val="ListBullet"/>
      </w:pPr>
      <w:r>
        <w:t>Regional teams in APAC follow the same policy with localized legal review.</w:t>
      </w:r>
    </w:p>
    <w:p>
      <w:pPr>
        <w:pStyle w:val="Heading1"/>
      </w:pPr>
      <w:r>
        <w:t>Troubleshooting</w:t>
      </w:r>
    </w:p>
    <w:p>
      <w:r>
        <w:t>Teams must log requests in Confluence and track outcomes in Identity Access Gateway for audit readiness. Regional teams in APAC follow the same policy with localized legal review.</w:t>
      </w:r>
    </w:p>
    <w:p>
      <w:pPr>
        <w:pStyle w:val="ListBullet"/>
      </w:pPr>
      <w:r>
        <w:t>Stakeholders include the HR Business Partner, service owner, and compliance lead for approvals.</w:t>
      </w:r>
    </w:p>
    <w:p>
      <w:pPr>
        <w:pStyle w:val="ListBullet"/>
      </w:pPr>
      <w:r>
        <w:t>Systems are monitored via Kubernetes and alert routing in Confluence.</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process integrates with Identity Access Gateway and depends on Kubernetes for telemetry signals.</w:t>
      </w:r>
    </w:p>
    <w:p>
      <w:pPr>
        <w:pStyle w:val="Heading1"/>
      </w:pPr>
      <w:r>
        <w:t>Maintenance</w:t>
      </w:r>
    </w:p>
    <w:p>
      <w:r>
        <w:t>All changes require peer review and validation in the Identity Access Gateway before production promotion. Risk acceptance must be documented and revalidated each quarter. Risk acceptance must be documented and revalidated each quarter. Audit sampling occurs monthly and is summarized in leadership dashboards.</w:t>
      </w:r>
    </w:p>
    <w:p>
      <w:r>
        <w:t>Evidence artifacts are retained in Confluence for at least 36 months. Stakeholders include the HR Business Partner, service owner, and compliance lead for approvals. All incidents are tagged with severity and mapped to service tiers.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ListBullet"/>
      </w:pPr>
      <w:r>
        <w:t>Teams must log requests in Confluence and track outcomes in Identity Access Gateway for audit readiness.</w:t>
      </w:r>
    </w:p>
    <w:p>
      <w:pPr>
        <w:pStyle w:val="ListBullet"/>
      </w:pPr>
      <w:r>
        <w:t>The Cloud Infrastructure team coordinates with HR Business Partner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