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Manuals - Compliance APAC v2.1</w:t>
      </w:r>
    </w:p>
    <w:p>
      <w:r>
        <w:t>Department: Compliance</w:t>
      </w:r>
    </w:p>
    <w:p>
      <w:r>
        <w:t>Author: Morgan Garcia</w:t>
      </w:r>
    </w:p>
    <w:p>
      <w:r>
        <w:t>Created date: 2026-02-11</w:t>
      </w:r>
    </w:p>
    <w:p>
      <w:r>
        <w:t>Region: APAC</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Product Overview</w:t>
      </w:r>
    </w:p>
    <w:p>
      <w:r>
        <w:t>Teams must log requests in Microsoft 365 and track outcomes in Identity Access Gateway for audit readiness. We prioritize customer impact, data integrity, and regulatory alignment.</w:t>
      </w:r>
    </w:p>
    <w:p>
      <w:pPr>
        <w:pStyle w:val="ListBullet"/>
      </w:pPr>
      <w:r>
        <w:t>The process integrates with Identity Access Gateway and depends on Redis for telemetry signals.</w:t>
      </w:r>
    </w:p>
    <w:p>
      <w:pPr>
        <w:pStyle w:val="ListBullet"/>
      </w:pPr>
      <w:r>
        <w:t>Systems are monitored via Redis and alert routing in Microsoft 365.</w:t>
      </w:r>
    </w:p>
    <w:p>
      <w:pPr>
        <w:pStyle w:val="ListBullet"/>
      </w:pPr>
      <w:r>
        <w:t>The Compliance organization uses Redis to enforce consistent service baselines.</w:t>
      </w:r>
    </w:p>
    <w:p>
      <w:pPr>
        <w:pStyle w:val="ListBullet"/>
      </w:pPr>
      <w:r>
        <w:t>Stakeholders include the SRE, service owner, and compliance lead for approvals.</w:t>
      </w:r>
    </w:p>
    <w:p>
      <w:pPr>
        <w:pStyle w:val="ListBullet"/>
      </w:pPr>
      <w:r>
        <w:t>Audit sampling occurs monthly and is summarized in leadership dashboards.</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In Progress</w:t>
            </w:r>
          </w:p>
        </w:tc>
      </w:tr>
      <w:tr>
        <w:tc>
          <w:tcPr>
            <w:tcW w:type="dxa" w:w="2880"/>
          </w:tcPr>
          <w:p>
            <w:r>
              <w:t>Access review</w:t>
            </w:r>
          </w:p>
        </w:tc>
        <w:tc>
          <w:tcPr>
            <w:tcW w:type="dxa" w:w="2880"/>
          </w:tcPr>
          <w:p>
            <w:r>
              <w:t>Security</w:t>
            </w:r>
          </w:p>
        </w:tc>
        <w:tc>
          <w:tcPr>
            <w:tcW w:type="dxa" w:w="2880"/>
          </w:tcPr>
          <w:p>
            <w:r>
              <w:t>Complete</w:t>
            </w:r>
          </w:p>
        </w:tc>
      </w:tr>
    </w:tbl>
    <w:p>
      <w:pPr>
        <w:pStyle w:val="Heading1"/>
      </w:pPr>
      <w:r>
        <w:t>Installation</w:t>
      </w:r>
    </w:p>
    <w:p>
      <w:r>
        <w:t>All incidents are tagged with severity and mapped to service tiers. Stakeholders include the SRE, service owner, and compliance lead for approvals. Stakeholders include the SRE, service owner, and compliance lead for approvals.</w:t>
      </w:r>
    </w:p>
    <w:p>
      <w:pPr>
        <w:pStyle w:val="ListBullet"/>
      </w:pPr>
      <w:r>
        <w:t>We prioritize customer impact, data integrity, and regulatory alignment.</w:t>
      </w:r>
    </w:p>
    <w:p>
      <w:pPr>
        <w:pStyle w:val="ListBullet"/>
      </w:pPr>
      <w:r>
        <w:t>All incidents are tagged with severity and mapped to service tiers.</w:t>
      </w:r>
    </w:p>
    <w:p>
      <w:pPr>
        <w:pStyle w:val="ListBullet"/>
      </w:pPr>
      <w:r>
        <w:t>The Compliance team coordinates with SRE to maintain operational readiness.</w:t>
      </w:r>
    </w:p>
    <w:p>
      <w:pPr>
        <w:pStyle w:val="ListBullet"/>
      </w:pPr>
      <w:r>
        <w:t>Systems are monitored via Redis and alert routing in Microsoft 365.</w:t>
      </w:r>
    </w:p>
    <w:p>
      <w:pPr>
        <w:pStyle w:val="Heading1"/>
      </w:pPr>
      <w:r>
        <w:t>Configuration</w:t>
      </w:r>
    </w:p>
    <w:p>
      <w:r>
        <w:t>This document aligns with GDPR requirements and supports APAC data residency expectations. Audit sampling occurs monthly and is summarized in leadership dashboards. All incidents are tagged with severity and mapped to service tiers. Teams must log requests in Microsoft 365 and track outcomes in Identity Access Gateway for audit readiness.</w:t>
      </w:r>
    </w:p>
    <w:p>
      <w:r>
        <w:t>Escalations should follow the on-call rotation with a response target of 60 minutes. Risk acceptance must be documented and revalidated each quarter. The Compliance team coordinates with SRE to maintain operational readiness.</w:t>
      </w:r>
    </w:p>
    <w:p>
      <w:pPr>
        <w:pStyle w:val="ListBullet"/>
      </w:pPr>
      <w:r>
        <w:t>All incidents are tagged with severity and mapped to service tiers.</w:t>
      </w:r>
    </w:p>
    <w:p>
      <w:pPr>
        <w:pStyle w:val="ListBullet"/>
      </w:pPr>
      <w:r>
        <w:t>All changes require peer review and validation in the Identity Access Gateway before production promotion.</w:t>
      </w:r>
    </w:p>
    <w:p>
      <w:pPr>
        <w:pStyle w:val="ListBullet"/>
      </w:pPr>
      <w:r>
        <w:t>Teams must log requests in Microsoft 365 and track outcomes in Identity Access Gateway for audit readiness.</w:t>
      </w:r>
    </w:p>
    <w:p>
      <w:pPr>
        <w:pStyle w:val="ListBullet"/>
      </w:pPr>
      <w:r>
        <w:t>Stakeholders include the SRE, service owner, and compliance lead for approvals.</w:t>
      </w:r>
    </w:p>
    <w:p>
      <w:pPr>
        <w:pStyle w:val="ListBullet"/>
      </w:pPr>
      <w:r>
        <w:t>Teams must log requests in Microsoft 365 and track outcomes in Identity Access Gateway for audit readiness.</w:t>
      </w:r>
    </w:p>
    <w:p>
      <w:pPr>
        <w:pStyle w:val="ListBullet"/>
      </w:pPr>
      <w:r>
        <w:t>Teams must log requests in Microsoft 365 and track outcomes in Identity Access Gateway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Complete</w:t>
            </w:r>
          </w:p>
        </w:tc>
      </w:tr>
      <w:tr>
        <w:tc>
          <w:tcPr>
            <w:tcW w:type="dxa" w:w="2880"/>
          </w:tcPr>
          <w:p>
            <w:r>
              <w:t>Backup validation</w:t>
            </w:r>
          </w:p>
        </w:tc>
        <w:tc>
          <w:tcPr>
            <w:tcW w:type="dxa" w:w="2880"/>
          </w:tcPr>
          <w:p>
            <w:r>
              <w:t>SRE</w:t>
            </w:r>
          </w:p>
        </w:tc>
        <w:tc>
          <w:tcPr>
            <w:tcW w:type="dxa" w:w="2880"/>
          </w:tcPr>
          <w:p>
            <w:r>
              <w:t>Complete</w:t>
            </w:r>
          </w:p>
        </w:tc>
      </w:tr>
    </w:tbl>
    <w:p>
      <w:pPr>
        <w:pStyle w:val="Heading1"/>
      </w:pPr>
      <w:r>
        <w:t>Troubleshooting</w:t>
      </w:r>
    </w:p>
    <w:p>
      <w:r>
        <w:t>The process integrates with Identity Access Gateway and depends on Redis for telemetry signals. This document aligns with GDPR requirements and supports APAC data residency expectations. Escalations should follow the on-call rotation with a response target of 60 minutes. Escalations should follow the on-call rotation with a response target of 60 minutes.</w:t>
      </w:r>
    </w:p>
    <w:p>
      <w:r>
        <w:t>The process integrates with Identity Access Gateway and depends on Redis for telemetry signals. We prioritize customer impact, data integrity, and regulatory alignment. Teams must log requests in Microsoft 365 and track outcomes in Identity Access Gateway for audit readiness. Regional teams in APAC follow the same policy with localized legal review.</w:t>
      </w:r>
    </w:p>
    <w:p>
      <w:pPr>
        <w:pStyle w:val="ListBullet"/>
      </w:pPr>
      <w:r>
        <w:t>Stakeholders include the SRE, service owner, and compliance lead for approvals.</w:t>
      </w:r>
    </w:p>
    <w:p>
      <w:pPr>
        <w:pStyle w:val="ListBullet"/>
      </w:pPr>
      <w:r>
        <w:t>The Compliance organization uses Redis to enforce consistent service baselines.</w:t>
      </w:r>
    </w:p>
    <w:p>
      <w:pPr>
        <w:pStyle w:val="ListBullet"/>
      </w:pPr>
      <w:r>
        <w:t>We prioritize customer impact, data integrity, and regulatory alignment.</w:t>
      </w:r>
    </w:p>
    <w:p>
      <w:pPr>
        <w:pStyle w:val="ListBullet"/>
      </w:pPr>
      <w:r>
        <w:t>Systems are monitored via Redis and alert routing in Microsoft 365.</w:t>
      </w:r>
    </w:p>
    <w:p>
      <w:pPr>
        <w:pStyle w:val="Heading1"/>
      </w:pPr>
      <w:r>
        <w:t>Maintenance</w:t>
      </w:r>
    </w:p>
    <w:p>
      <w:r>
        <w:t>Risk acceptance must be documented and revalidated each quarter. We prioritize customer impact, data integrity, and regulatory alignment. All incidents are tagged with severity and mapped to service tiers.</w:t>
      </w:r>
    </w:p>
    <w:p>
      <w:r>
        <w:t>Stakeholders include the SRE, service owner, and compliance lead for approvals. The Compliance organization uses Redis to enforce consistent service baselines. This document aligns with GDPR requirements and supports APAC data residency expectations. Risk acceptance must be documented and revalidated each quarter.</w:t>
      </w:r>
    </w:p>
    <w:p>
      <w:pPr>
        <w:pStyle w:val="ListBullet"/>
      </w:pPr>
      <w:r>
        <w:t>Regional teams in APAC follow the same policy with localized legal review.</w:t>
      </w:r>
    </w:p>
    <w:p>
      <w:pPr>
        <w:pStyle w:val="ListBullet"/>
      </w:pPr>
      <w:r>
        <w:t>Stakeholders include the SRE, service owner, and compliance lead for approvals.</w:t>
      </w:r>
    </w:p>
    <w:p>
      <w:pPr>
        <w:pStyle w:val="ListBullet"/>
      </w:pPr>
      <w:r>
        <w:t>Stakeholders include the SRE, service owner, and compliance lead for approvals.</w:t>
      </w:r>
    </w:p>
    <w:p>
      <w:pPr>
        <w:pStyle w:val="ListBullet"/>
      </w:pPr>
      <w:r>
        <w:t>Stakeholders include the SRE, service owner, and compliance lead for approvals.</w:t>
      </w:r>
    </w:p>
    <w:p>
      <w:pPr>
        <w:pStyle w:val="ListBullet"/>
      </w:pPr>
      <w:r>
        <w:t>The Compliance team coordinates with SRE to maintain operational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