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Compliance US v2.1</w:t>
      </w:r>
    </w:p>
    <w:p>
      <w:r>
        <w:t>Department: Compliance</w:t>
      </w:r>
    </w:p>
    <w:p>
      <w:r>
        <w:t>Author: Jordan Patel</w:t>
      </w:r>
    </w:p>
    <w:p>
      <w:r>
        <w:t>Created date: 2025-10-18</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This document aligns with SOC 2 requirements and supports US data residency expectations. We prioritize customer impact, data integrity, and regulatory alignment. Stakeholders include the HR Business Partner, service owner, and compliance lead for approvals.</w:t>
      </w:r>
    </w:p>
    <w:p>
      <w:pPr>
        <w:pStyle w:val="ListBullet"/>
      </w:pPr>
      <w:r>
        <w:t>Regional teams in US follow the same policy with localized legal review.</w:t>
      </w:r>
    </w:p>
    <w:p>
      <w:pPr>
        <w:pStyle w:val="ListBullet"/>
      </w:pPr>
      <w:r>
        <w:t>The Compliance organization uses Datadog to enforce consistent service baselines.</w:t>
      </w:r>
    </w:p>
    <w:p>
      <w:pPr>
        <w:pStyle w:val="ListBullet"/>
      </w:pPr>
      <w:r>
        <w:t>Stakeholders include the HR Business Partner, service owner, and compliance lead for approvals.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The process integrates with ERP System and depends on Datadog for telemetry signals.</w:t>
      </w:r>
    </w:p>
    <w:p>
      <w:pPr>
        <w:pStyle w:val="Heading1"/>
      </w:pPr>
      <w:r>
        <w:t>Installation</w:t>
      </w:r>
    </w:p>
    <w:p>
      <w:r>
        <w:t>This document aligns with SOC 2 requirements and supports US data residency expectations. All changes require peer review and validation in the ERP System before production promotion. Audit sampling occurs monthly and is summarized in leadership dashboards. Risk acceptance must be documented and revalidated each quarter.</w:t>
      </w:r>
    </w:p>
    <w:p>
      <w:pPr>
        <w:pStyle w:val="ListBullet"/>
      </w:pPr>
      <w:r>
        <w:t>The process integrates with ERP System and depends on Datadog for telemetry signals.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Regional teams in US follow the same policy with localized legal review.</w:t>
      </w:r>
    </w:p>
    <w:p>
      <w:pPr>
        <w:pStyle w:val="Heading1"/>
      </w:pPr>
      <w:r>
        <w:t>Configuration</w:t>
      </w:r>
    </w:p>
    <w:p>
      <w:r>
        <w:t>Teams must log requests in SAP and track outcomes in ERP System for audit readiness. Escalations should follow the on-call rotation with a response target of 30 minutes. The process integrates with ERP System and depends on Datadog for telemetry signals.</w:t>
      </w:r>
    </w:p>
    <w:p>
      <w:pPr>
        <w:pStyle w:val="ListBullet"/>
      </w:pPr>
      <w:r>
        <w:t>Regional teams in US follow the same policy with localized legal review.</w:t>
      </w:r>
    </w:p>
    <w:p>
      <w:pPr>
        <w:pStyle w:val="ListBullet"/>
      </w:pPr>
      <w:r>
        <w:t>The process integrates with ERP System and depends on Datadog for telemetry signals.</w:t>
      </w:r>
    </w:p>
    <w:p>
      <w:pPr>
        <w:pStyle w:val="ListBullet"/>
      </w:pPr>
      <w:r>
        <w:t>This document aligns with SOC 2 requirements and supports US data residency expectations.</w:t>
      </w:r>
    </w:p>
    <w:p>
      <w:pPr>
        <w:pStyle w:val="ListBullet"/>
      </w:pPr>
      <w:r>
        <w:t>Teams must log requests in SAP and track outcomes in ERP System for audit readiness.</w:t>
      </w:r>
    </w:p>
    <w:p>
      <w:pPr>
        <w:pStyle w:val="ListBullet"/>
      </w:pPr>
      <w:r>
        <w:t>Systems are monitored via Datadog and alert routing in SAP.</w:t>
      </w:r>
    </w:p>
    <w:p>
      <w:pPr>
        <w:pStyle w:val="ListBullet"/>
      </w:pPr>
      <w:r>
        <w:t>The Compliance team coordinates with HR Business Partner to maintain operational readiness.</w:t>
      </w:r>
    </w:p>
    <w:p>
      <w:pPr>
        <w:pStyle w:val="Heading1"/>
      </w:pPr>
      <w:r>
        <w:t>Troubleshooting</w:t>
      </w:r>
    </w:p>
    <w:p>
      <w:r>
        <w:t>All incidents are tagged with severity and mapped to service tiers. All incidents are tagged with severity and mapped to service tiers. Systems are monitored via Datadog and alert routing in SAP. Escalations should follow the on-call rotation with a response target of 30 minutes.</w:t>
      </w:r>
    </w:p>
    <w:p>
      <w:r>
        <w:t>Escalations should follow the on-call rotation with a response target of 30 minutes. Audit sampling occurs monthly and is summarized in leadership dashboards. Audit sampling occurs monthly and is summarized in leadership dashboards. All changes require peer review and validation in the ERP System before production promotion.</w:t>
      </w:r>
    </w:p>
    <w:p>
      <w:pPr>
        <w:pStyle w:val="ListBullet"/>
      </w:pPr>
      <w:r>
        <w:t>This document aligns with SOC 2 requirements and supports US data residency expectations.</w:t>
      </w:r>
    </w:p>
    <w:p>
      <w:pPr>
        <w:pStyle w:val="ListBullet"/>
      </w:pPr>
      <w:r>
        <w:t>Stakeholders include the HR Business Partner, service owner, and compliance lead for approvals.</w:t>
      </w:r>
    </w:p>
    <w:p>
      <w:pPr>
        <w:pStyle w:val="ListBullet"/>
      </w:pPr>
      <w:r>
        <w:t>The Compliance team coordinates with HR Business Partner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Access review</w:t>
            </w:r>
          </w:p>
        </w:tc>
        <w:tc>
          <w:tcPr>
            <w:tcW w:type="dxa" w:w="2880"/>
          </w:tcPr>
          <w:p>
            <w:r>
              <w:t>Operations</w:t>
            </w:r>
          </w:p>
        </w:tc>
        <w:tc>
          <w:tcPr>
            <w:tcW w:type="dxa" w:w="2880"/>
          </w:tcPr>
          <w:p>
            <w:r>
              <w:t>Planned</w:t>
            </w:r>
          </w:p>
        </w:tc>
      </w:tr>
      <w:tr>
        <w:tc>
          <w:tcPr>
            <w:tcW w:type="dxa" w:w="2880"/>
          </w:tcPr>
          <w:p>
            <w:r>
              <w:t>Vendor check</w:t>
            </w:r>
          </w:p>
        </w:tc>
        <w:tc>
          <w:tcPr>
            <w:tcW w:type="dxa" w:w="2880"/>
          </w:tcPr>
          <w:p>
            <w:r>
              <w:t>Security</w:t>
            </w:r>
          </w:p>
        </w:tc>
        <w:tc>
          <w:tcPr>
            <w:tcW w:type="dxa" w:w="2880"/>
          </w:tcPr>
          <w:p>
            <w:r>
              <w:t>Blocked</w:t>
            </w:r>
          </w:p>
        </w:tc>
      </w:tr>
    </w:tbl>
    <w:p>
      <w:pPr>
        <w:pStyle w:val="Heading1"/>
      </w:pPr>
      <w:r>
        <w:t>Maintenance</w:t>
      </w:r>
    </w:p>
    <w:p>
      <w:r>
        <w:t>All incidents are tagged with severity and mapped to service tiers. The Compliance team coordinates with HR Business Partner to maintain operational readiness. The Compliance team coordinates with HR Business Partner to maintain operational readiness.</w:t>
      </w:r>
    </w:p>
    <w:p>
      <w:r>
        <w:t>The Compliance team coordinates with HR Business Partner to maintain operational readiness. The Compliance organization uses Datadog to enforce consistent service baselines.</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Escalations should follow the on-call rotation with a response target of 30 minutes.</w:t>
      </w:r>
    </w:p>
    <w:p>
      <w:pPr>
        <w:pStyle w:val="ListBullet"/>
      </w:pPr>
      <w:r>
        <w:t>Evidence artifacts are retained in SAP for at least 12 months.</w:t>
      </w:r>
    </w:p>
    <w:p>
      <w:pPr>
        <w:pStyle w:val="ListBullet"/>
      </w:pPr>
      <w:r>
        <w:t>The Compliance organization uses Datadog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HR Business Partner</w:t>
            </w:r>
          </w:p>
        </w:tc>
        <w:tc>
          <w:tcPr>
            <w:tcW w:type="dxa" w:w="2880"/>
          </w:tcPr>
          <w:p>
            <w:r>
              <w:t>Blocked</w:t>
            </w:r>
          </w:p>
        </w:tc>
      </w:tr>
      <w:tr>
        <w:tc>
          <w:tcPr>
            <w:tcW w:type="dxa" w:w="2880"/>
          </w:tcPr>
          <w:p>
            <w:r>
              <w:t>Vendor check</w:t>
            </w:r>
          </w:p>
        </w:tc>
        <w:tc>
          <w:tcPr>
            <w:tcW w:type="dxa" w:w="2880"/>
          </w:tcPr>
          <w:p>
            <w:r>
              <w:t>Compliance</w:t>
            </w:r>
          </w:p>
        </w:tc>
        <w:tc>
          <w:tcPr>
            <w:tcW w:type="dxa" w:w="2880"/>
          </w:tcPr>
          <w:p>
            <w:r>
              <w:t>Planned</w:t>
            </w:r>
          </w:p>
        </w:tc>
      </w:tr>
      <w:tr>
        <w:tc>
          <w:tcPr>
            <w:tcW w:type="dxa" w:w="2880"/>
          </w:tcPr>
          <w:p>
            <w:r>
              <w:t>Vendor check</w:t>
            </w:r>
          </w:p>
        </w:tc>
        <w:tc>
          <w:tcPr>
            <w:tcW w:type="dxa" w:w="2880"/>
          </w:tcPr>
          <w:p>
            <w:r>
              <w:t>Security</w:t>
            </w:r>
          </w:p>
        </w:tc>
        <w:tc>
          <w:tcPr>
            <w:tcW w:type="dxa" w:w="2880"/>
          </w:tcPr>
          <w:p>
            <w:r>
              <w:t>Complete</w:t>
            </w:r>
          </w:p>
        </w:tc>
      </w:tr>
      <w:tr>
        <w:tc>
          <w:tcPr>
            <w:tcW w:type="dxa" w:w="2880"/>
          </w:tcPr>
          <w:p>
            <w:r>
              <w:t>Incident drill</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