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Customer Support EU v2.1</w:t>
      </w:r>
    </w:p>
    <w:p>
      <w:r>
        <w:t>Department: Customer Support</w:t>
      </w:r>
    </w:p>
    <w:p>
      <w:r>
        <w:t>Author: Avery Garcia</w:t>
      </w:r>
    </w:p>
    <w:p>
      <w:r>
        <w:t>Created date: 2025-06-29</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Systems are monitored via Prometheus and alert routing in Confluence. Escalations should follow the on-call rotation with a response target of 45 minutes. The Customer Support team coordinates with Security Analyst to maintain operational readiness. Teams must log requests in Confluence and track outcomes in CI/CD Pipeline for audit readiness.</w:t>
      </w:r>
    </w:p>
    <w:p>
      <w:pPr>
        <w:pStyle w:val="ListBullet"/>
      </w:pPr>
      <w:r>
        <w:t>Teams must log requests in Confluence and track outcomes in CI/CD Pipeline for audit readiness.</w:t>
      </w:r>
    </w:p>
    <w:p>
      <w:pPr>
        <w:pStyle w:val="ListBullet"/>
      </w:pPr>
      <w:r>
        <w:t>The Customer Support team coordinates with Security Analyst to maintain operational readiness.</w:t>
      </w:r>
    </w:p>
    <w:p>
      <w:pPr>
        <w:pStyle w:val="ListBullet"/>
      </w:pPr>
      <w:r>
        <w:t>The process integrates with CI/CD Pipeline and depends on Prometheus for telemetry signals.</w:t>
      </w:r>
    </w:p>
    <w:p>
      <w:pPr>
        <w:pStyle w:val="ListBullet"/>
      </w:pPr>
      <w:r>
        <w:t>The Customer Support organization uses Prometheus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Customer Support</w:t>
            </w:r>
          </w:p>
        </w:tc>
        <w:tc>
          <w:tcPr>
            <w:tcW w:type="dxa" w:w="2880"/>
          </w:tcPr>
          <w:p>
            <w:r>
              <w:t>Complete</w:t>
            </w:r>
          </w:p>
        </w:tc>
      </w:tr>
      <w:tr>
        <w:tc>
          <w:tcPr>
            <w:tcW w:type="dxa" w:w="2880"/>
          </w:tcPr>
          <w:p>
            <w:r>
              <w:t>Access review</w:t>
            </w:r>
          </w:p>
        </w:tc>
        <w:tc>
          <w:tcPr>
            <w:tcW w:type="dxa" w:w="2880"/>
          </w:tcPr>
          <w:p>
            <w:r>
              <w:t>Security Analyst</w:t>
            </w:r>
          </w:p>
        </w:tc>
        <w:tc>
          <w:tcPr>
            <w:tcW w:type="dxa" w:w="2880"/>
          </w:tcPr>
          <w:p>
            <w:r>
              <w:t>Planned</w:t>
            </w:r>
          </w:p>
        </w:tc>
      </w:tr>
      <w:tr>
        <w:tc>
          <w:tcPr>
            <w:tcW w:type="dxa" w:w="2880"/>
          </w:tcPr>
          <w:p>
            <w:r>
              <w:t>Incident drill</w:t>
            </w:r>
          </w:p>
        </w:tc>
        <w:tc>
          <w:tcPr>
            <w:tcW w:type="dxa" w:w="2880"/>
          </w:tcPr>
          <w:p>
            <w:r>
              <w:t>Security</w:t>
            </w:r>
          </w:p>
        </w:tc>
        <w:tc>
          <w:tcPr>
            <w:tcW w:type="dxa" w:w="2880"/>
          </w:tcPr>
          <w:p>
            <w:r>
              <w:t>In Progress</w:t>
            </w:r>
          </w:p>
        </w:tc>
      </w:tr>
    </w:tbl>
    <w:p>
      <w:pPr>
        <w:pStyle w:val="Heading1"/>
      </w:pPr>
      <w:r>
        <w:t>Installation</w:t>
      </w:r>
    </w:p>
    <w:p>
      <w:r>
        <w:t>Evidence artifacts are retained in Confluence for at least 18 months. Regional teams in EU follow the same policy with localized legal review. Teams must log requests in Confluence and track outcomes in CI/CD Pipeline for audit readiness.</w:t>
      </w:r>
    </w:p>
    <w:p>
      <w:r>
        <w:t>All incidents are tagged with severity and mapped to service tiers. Escalations should follow the on-call rotation with a response target of 45 minutes. Regional teams in EU follow the same policy with localized legal review.</w:t>
      </w:r>
    </w:p>
    <w:p>
      <w:pPr>
        <w:pStyle w:val="ListBullet"/>
      </w:pPr>
      <w:r>
        <w:t>Risk acceptance must be documented and revalidated each quarter.</w:t>
      </w:r>
    </w:p>
    <w:p>
      <w:pPr>
        <w:pStyle w:val="ListBullet"/>
      </w:pPr>
      <w:r>
        <w:t>This document aligns with GDPR requirements and supports EU data residency expectations.</w:t>
      </w:r>
    </w:p>
    <w:p>
      <w:pPr>
        <w:pStyle w:val="ListBullet"/>
      </w:pPr>
      <w:r>
        <w:t>All changes require peer review and validation in the CI/CD Pipeline before production promotion.</w:t>
      </w:r>
    </w:p>
    <w:p>
      <w:pPr>
        <w:pStyle w:val="ListBullet"/>
      </w:pPr>
      <w:r>
        <w:t>The Customer Support organization uses Prometheus to enforce consistent service baselines.</w:t>
      </w:r>
    </w:p>
    <w:p>
      <w:pPr>
        <w:pStyle w:val="ListBullet"/>
      </w:pPr>
      <w:r>
        <w:t>All changes require peer review and validation in the CI/CD Pipeline before production promotion.</w:t>
      </w:r>
    </w:p>
    <w:p>
      <w:pPr>
        <w:pStyle w:val="Heading1"/>
      </w:pPr>
      <w:r>
        <w:t>Configuration</w:t>
      </w:r>
    </w:p>
    <w:p>
      <w:r>
        <w:t>Systems are monitored via Prometheus and alert routing in Confluence. Audit sampling occurs monthly and is summarized in leadership dashboards.</w:t>
      </w:r>
    </w:p>
    <w:p>
      <w:r>
        <w:t>We prioritize customer impact, data integrity, and regulatory alignment. The Customer Support team coordinates with Security Analyst to maintain operational readiness.</w:t>
      </w:r>
    </w:p>
    <w:p>
      <w:pPr>
        <w:pStyle w:val="ListBullet"/>
      </w:pPr>
      <w:r>
        <w:t>Teams must log requests in Confluence and track outcomes in CI/CD Pipeline for audit readiness.</w:t>
      </w:r>
    </w:p>
    <w:p>
      <w:pPr>
        <w:pStyle w:val="ListBullet"/>
      </w:pPr>
      <w:r>
        <w:t>Escalations should follow the on-call rotation with a response target of 45 minutes.</w:t>
      </w:r>
    </w:p>
    <w:p>
      <w:pPr>
        <w:pStyle w:val="ListBullet"/>
      </w:pPr>
      <w:r>
        <w:t>The Customer Support organization uses Prometheus to enforce consistent service baselines.</w:t>
      </w:r>
    </w:p>
    <w:p>
      <w:pPr>
        <w:pStyle w:val="ListBullet"/>
      </w:pPr>
      <w:r>
        <w:t>We prioritize customer impact, data integrity, and regulatory alignment.</w:t>
      </w:r>
    </w:p>
    <w:p>
      <w:pPr>
        <w:pStyle w:val="ListBullet"/>
      </w:pPr>
      <w:r>
        <w:t>The Customer Support team coordinates with Security Analyst to maintain operational readiness.</w:t>
      </w:r>
    </w:p>
    <w:p>
      <w:pPr>
        <w:pStyle w:val="ListBullet"/>
      </w:pPr>
      <w:r>
        <w:t>We prioritize customer impact, data integrity, and regulatory alignment.</w:t>
      </w:r>
    </w:p>
    <w:p>
      <w:pPr>
        <w:pStyle w:val="Heading1"/>
      </w:pPr>
      <w:r>
        <w:t>Troubleshooting</w:t>
      </w:r>
    </w:p>
    <w:p>
      <w:r>
        <w:t>The process integrates with CI/CD Pipeline and depends on Prometheus for telemetry signals. All incidents are tagged with severity and mapped to service tiers.</w:t>
      </w:r>
    </w:p>
    <w:p>
      <w:r>
        <w:t>Teams must log requests in Confluence and track outcomes in CI/CD Pipeline for audit readiness. Escalations should follow the on-call rotation with a response target of 45 minutes.</w:t>
      </w:r>
    </w:p>
    <w:p>
      <w:pPr>
        <w:pStyle w:val="ListBullet"/>
      </w:pPr>
      <w:r>
        <w:t>The process integrates with CI/CD Pipeline and depends on Prometheus for telemetry signals.</w:t>
      </w:r>
    </w:p>
    <w:p>
      <w:pPr>
        <w:pStyle w:val="ListBullet"/>
      </w:pPr>
      <w:r>
        <w:t>All changes require peer review and validation in the CI/CD Pipeline before production promotion.</w:t>
      </w:r>
    </w:p>
    <w:p>
      <w:pPr>
        <w:pStyle w:val="ListBullet"/>
      </w:pPr>
      <w:r>
        <w:t>Regional teams in EU follow the same policy with localized legal review.</w:t>
      </w:r>
    </w:p>
    <w:p>
      <w:pPr>
        <w:pStyle w:val="ListBullet"/>
      </w:pPr>
      <w:r>
        <w:t>This document aligns with GDPR requirements and supports EU data residency expectations.</w:t>
      </w:r>
    </w:p>
    <w:p>
      <w:pPr>
        <w:pStyle w:val="ListBullet"/>
      </w:pPr>
      <w:r>
        <w:t>This document aligns with GDPR requirements and supports EU data residency expectations.</w:t>
      </w:r>
    </w:p>
    <w:p>
      <w:pPr>
        <w:pStyle w:val="Heading1"/>
      </w:pPr>
      <w:r>
        <w:t>Maintenance</w:t>
      </w:r>
    </w:p>
    <w:p>
      <w:r>
        <w:t>Risk acceptance must be documented and revalidated each quarter. Systems are monitored via Prometheus and alert routing in Confluence.</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Regional teams in EU follow the same policy with localized legal review.</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Customer Support</w:t>
            </w:r>
          </w:p>
        </w:tc>
        <w:tc>
          <w:tcPr>
            <w:tcW w:type="dxa" w:w="2880"/>
          </w:tcPr>
          <w:p>
            <w:r>
              <w:t>Planned</w:t>
            </w:r>
          </w:p>
        </w:tc>
      </w:tr>
      <w:tr>
        <w:tc>
          <w:tcPr>
            <w:tcW w:type="dxa" w:w="2880"/>
          </w:tcPr>
          <w:p>
            <w:r>
              <w:t>Patch window</w:t>
            </w:r>
          </w:p>
        </w:tc>
        <w:tc>
          <w:tcPr>
            <w:tcW w:type="dxa" w:w="2880"/>
          </w:tcPr>
          <w:p>
            <w:r>
              <w:t>Operations</w:t>
            </w:r>
          </w:p>
        </w:tc>
        <w:tc>
          <w:tcPr>
            <w:tcW w:type="dxa" w:w="2880"/>
          </w:tcPr>
          <w:p>
            <w:r>
              <w:t>Planned</w:t>
            </w:r>
          </w:p>
        </w:tc>
      </w:tr>
      <w:tr>
        <w:tc>
          <w:tcPr>
            <w:tcW w:type="dxa" w:w="2880"/>
          </w:tcPr>
          <w:p>
            <w:r>
              <w:t>Incident drill</w:t>
            </w:r>
          </w:p>
        </w:tc>
        <w:tc>
          <w:tcPr>
            <w:tcW w:type="dxa" w:w="2880"/>
          </w:tcPr>
          <w:p>
            <w:r>
              <w:t>Customer Support</w:t>
            </w:r>
          </w:p>
        </w:tc>
        <w:tc>
          <w:tcPr>
            <w:tcW w:type="dxa" w:w="2880"/>
          </w:tcPr>
          <w:p>
            <w:r>
              <w:t>In Progress</w:t>
            </w:r>
          </w:p>
        </w:tc>
      </w:tr>
      <w:tr>
        <w:tc>
          <w:tcPr>
            <w:tcW w:type="dxa" w:w="2880"/>
          </w:tcPr>
          <w:p>
            <w:r>
              <w:t>Access review</w:t>
            </w:r>
          </w:p>
        </w:tc>
        <w:tc>
          <w:tcPr>
            <w:tcW w:type="dxa" w:w="2880"/>
          </w:tcPr>
          <w:p>
            <w:r>
              <w:t>Security</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