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Data Platform APAC v3.0</w:t>
      </w:r>
    </w:p>
    <w:p>
      <w:r>
        <w:t>Department: Data Platform</w:t>
      </w:r>
    </w:p>
    <w:p>
      <w:r>
        <w:t>Author: Alex Patel</w:t>
      </w:r>
    </w:p>
    <w:p>
      <w:r>
        <w:t>Created date: 2026-02-15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Systems are monitored via ServiceNow and alert routing in SAP. The process integrates with Endpoint Management and depends on ServiceNow for telemetry signals. Evidence artifacts are retained in SAP for at least 24 months.</w:t>
      </w:r>
    </w:p>
    <w:p>
      <w:r>
        <w:t>Systems are monitored via ServiceNow and alert routing in SAP. Stakeholders include the Security Analyst, service owner, and compliance lead for approvals. All changes require peer review and validation in the Endpoint Management before production promotion.</w:t>
      </w:r>
    </w:p>
    <w:p>
      <w:pPr>
        <w:pStyle w:val="ListBullet"/>
      </w:pPr>
      <w:r>
        <w:t>Regional teams in APAC follow the same policy with localized legal review.</w:t>
      </w:r>
    </w:p>
    <w:p>
      <w:pPr>
        <w:pStyle w:val="ListBullet"/>
      </w:pPr>
      <w:r>
        <w:t>Evidence artifacts are retained in SAP for at least 24 months.</w:t>
      </w:r>
    </w:p>
    <w:p>
      <w:pPr>
        <w:pStyle w:val="ListBullet"/>
      </w:pPr>
      <w:r>
        <w:t>All changes require peer review and validation in the Endpoint Management before production promotion.</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Heading1"/>
      </w:pPr>
      <w:r>
        <w:t>Installation</w:t>
      </w:r>
    </w:p>
    <w:p>
      <w:r>
        <w:t>Audit sampling occurs monthly and is summarized in leadership dashboards. Evidence artifacts are retained in SAP for at least 24 months. The Data Platform team coordinates with Security Analyst to maintain operational readiness.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All changes require peer review and validation in the Endpoint Management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Incident drill</w:t>
            </w:r>
          </w:p>
        </w:tc>
        <w:tc>
          <w:tcPr>
            <w:tcW w:type="dxa" w:w="2880"/>
          </w:tcPr>
          <w:p>
            <w:r>
              <w:t>Security Analyst</w:t>
            </w:r>
          </w:p>
        </w:tc>
        <w:tc>
          <w:tcPr>
            <w:tcW w:type="dxa" w:w="2880"/>
          </w:tcPr>
          <w:p>
            <w:r>
              <w:t>Complete</w:t>
            </w:r>
          </w:p>
        </w:tc>
      </w:tr>
    </w:tbl>
    <w:p>
      <w:pPr>
        <w:pStyle w:val="Heading1"/>
      </w:pPr>
      <w:r>
        <w:t>Configuration</w:t>
      </w:r>
    </w:p>
    <w:p>
      <w:r>
        <w:t>Escalations should follow the on-call rotation with a response target of 45 minutes. Evidence artifacts are retained in SAP for at least 24 months. Audit sampling occurs monthly and is summarized in leadership dashboards.</w:t>
      </w:r>
    </w:p>
    <w:p>
      <w:r>
        <w:t>This document aligns with SOC 2 requirements and supports APAC data residency expectations. We prioritize customer impact, data integrity, and regulatory alignment. We prioritize customer impact, data integrity, and regulatory alignment.</w:t>
      </w:r>
    </w:p>
    <w:p>
      <w:pPr>
        <w:pStyle w:val="ListBullet"/>
      </w:pPr>
      <w:r>
        <w:t>Stakeholders include the Security Analyst, service owner, and compliance lead for approvals.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Troubleshooting</w:t>
      </w:r>
    </w:p>
    <w:p>
      <w:r>
        <w:t>Audit sampling occurs monthly and is summarized in leadership dashboards. Systems are monitored via ServiceNow and alert routing in SAP. We prioritize customer impact, data integrity, and regulatory alignment. Escalations should follow the on-call rotation with a response target of 45 minutes.</w:t>
      </w:r>
    </w:p>
    <w:p>
      <w:r>
        <w:t>Teams must log requests in SAP and track outcomes in Endpoint Management for audit readiness. Evidence artifacts are retained in SAP for at least 24 months.</w:t>
      </w:r>
    </w:p>
    <w:p>
      <w:pPr>
        <w:pStyle w:val="ListBullet"/>
      </w:pPr>
      <w:r>
        <w:t>The Data Platform team coordinates with Security Analyst to maintain operational readiness.</w:t>
      </w:r>
    </w:p>
    <w:p>
      <w:pPr>
        <w:pStyle w:val="ListBullet"/>
      </w:pPr>
      <w:r>
        <w:t>The Data Platform organization uses ServiceNow to enforce consistent service baselines.</w:t>
      </w:r>
    </w:p>
    <w:p>
      <w:pPr>
        <w:pStyle w:val="ListBullet"/>
      </w:pPr>
      <w:r>
        <w:t>The Data Platform organization uses ServiceNow to enforce consistent service baselines.</w:t>
      </w:r>
    </w:p>
    <w:p>
      <w:pPr>
        <w:pStyle w:val="ListBullet"/>
      </w:pPr>
      <w:r>
        <w:t>This document aligns with SOC 2 requirements and supports APAC data residency expectations.</w:t>
      </w:r>
    </w:p>
    <w:p>
      <w:pPr>
        <w:pStyle w:val="ListBullet"/>
      </w:pPr>
      <w:r>
        <w:t>Escalations should follow the on-call rotation with a response target of 45 minutes.</w:t>
      </w:r>
    </w:p>
    <w:p>
      <w:pPr>
        <w:pStyle w:val="ListBullet"/>
      </w:pPr>
      <w:r>
        <w:t>Evidence artifacts are retained in SAP for at least 24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Incident drill</w:t>
            </w:r>
          </w:p>
        </w:tc>
        <w:tc>
          <w:tcPr>
            <w:tcW w:type="dxa" w:w="2880"/>
          </w:tcPr>
          <w:p>
            <w:r>
              <w:t>Data Platform</w:t>
            </w:r>
          </w:p>
        </w:tc>
        <w:tc>
          <w:tcPr>
            <w:tcW w:type="dxa" w:w="2880"/>
          </w:tcPr>
          <w:p>
            <w:r>
              <w:t>In Progress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Vendor check</w:t>
            </w:r>
          </w:p>
        </w:tc>
        <w:tc>
          <w:tcPr>
            <w:tcW w:type="dxa" w:w="2880"/>
          </w:tcPr>
          <w:p>
            <w:r>
              <w:t>Security Analyst</w:t>
            </w:r>
          </w:p>
        </w:tc>
        <w:tc>
          <w:tcPr>
            <w:tcW w:type="dxa" w:w="2880"/>
          </w:tcPr>
          <w:p>
            <w:r>
              <w:t>Planned</w:t>
            </w:r>
          </w:p>
        </w:tc>
      </w:tr>
    </w:tbl>
    <w:p>
      <w:pPr>
        <w:pStyle w:val="Heading1"/>
      </w:pPr>
      <w:r>
        <w:t>Maintenance</w:t>
      </w:r>
    </w:p>
    <w:p>
      <w:r>
        <w:t>Escalations should follow the on-call rotation with a response target of 45 minutes. Teams must log requests in SAP and track outcomes in Endpoint Management for audit readiness. The Data Platform organization uses ServiceNow to enforce consistent service baselines.</w:t>
      </w:r>
    </w:p>
    <w:p>
      <w:r>
        <w:t>Evidence artifacts are retained in SAP for at least 24 months. We prioritize customer impact, data integrity, and regulatory alignment. We prioritize customer impact, data integrity, and regulatory alignment. Risk acceptance must be documented and revalidated each quarter.</w:t>
      </w:r>
    </w:p>
    <w:p>
      <w:pPr>
        <w:pStyle w:val="ListBullet"/>
      </w:pPr>
      <w:r>
        <w:t>Teams must log requests in SAP and track outcomes in Endpoint Management for audit readiness.</w:t>
      </w:r>
    </w:p>
    <w:p>
      <w:pPr>
        <w:pStyle w:val="ListBullet"/>
      </w:pPr>
      <w:r>
        <w:t>Audit sampling occurs monthly and is summarized in leadership dashboards.</w:t>
      </w:r>
    </w:p>
    <w:p>
      <w:pPr>
        <w:pStyle w:val="ListBullet"/>
      </w:pPr>
      <w:r>
        <w:t>The process integrates with Endpoint Management and depends on ServiceNow for telemetry signals.</w:t>
      </w:r>
    </w:p>
    <w:p>
      <w:pPr>
        <w:pStyle w:val="ListBullet"/>
      </w:pPr>
      <w:r>
        <w:t>The process integrates with Endpoint Management and depends on ServiceNow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