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Data Platform EU v1.2</w:t>
      </w:r>
    </w:p>
    <w:p>
      <w:r>
        <w:t>Department: Data Platform</w:t>
      </w:r>
    </w:p>
    <w:p>
      <w:r>
        <w:t>Author: Riley Brown</w:t>
      </w:r>
    </w:p>
    <w:p>
      <w:r>
        <w:t>Created date: 2024-05-07</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We prioritize customer impact, data integrity, and regulatory alignment. Regional teams in EU follow the same policy with localized legal review.</w:t>
      </w:r>
    </w:p>
    <w:p>
      <w:r>
        <w:t>We prioritize customer impact, data integrity, and regulatory alignment. Audit sampling occurs monthly and is summarized in leadership dashboards. The Data Platform organization uses Kubernetes to enforce consistent service baselines. Regional teams in EU follow the same policy with localized legal review.</w:t>
      </w:r>
    </w:p>
    <w:p>
      <w:pPr>
        <w:pStyle w:val="ListBullet"/>
      </w:pPr>
      <w:r>
        <w:t>Escalations should follow the on-call rotation with a response target of 45 minutes.</w:t>
      </w:r>
    </w:p>
    <w:p>
      <w:pPr>
        <w:pStyle w:val="ListBullet"/>
      </w:pPr>
      <w:r>
        <w:t>Stakeholders include the Systems Engineer, service owner, and compliance lead for approvals.</w:t>
      </w:r>
    </w:p>
    <w:p>
      <w:pPr>
        <w:pStyle w:val="ListBullet"/>
      </w:pPr>
      <w:r>
        <w:t>Systems are monitored via Kubernetes and alert routing in Jira.</w:t>
      </w:r>
    </w:p>
    <w:p>
      <w:pPr>
        <w:pStyle w:val="Heading1"/>
      </w:pPr>
      <w:r>
        <w:t>Installation</w:t>
      </w:r>
    </w:p>
    <w:p>
      <w:r>
        <w:t>The process integrates with CRM Platform and depends on Kubernetes for telemetry signals. Stakeholders include the Systems Engineer, service owner, and compliance lead for approvals.</w:t>
      </w:r>
    </w:p>
    <w:p>
      <w:r>
        <w:t>Systems are monitored via Kubernetes and alert routing in Jira. All incidents are tagged with severity and mapped to service tiers. The Data Platform organization uses Kubernetes to enforce consistent service baselines.</w:t>
      </w:r>
    </w:p>
    <w:p>
      <w:pPr>
        <w:pStyle w:val="ListBullet"/>
      </w:pPr>
      <w:r>
        <w:t>All changes require peer review and validation in the CRM Platform before production promotion.</w:t>
      </w:r>
    </w:p>
    <w:p>
      <w:pPr>
        <w:pStyle w:val="ListBullet"/>
      </w:pPr>
      <w:r>
        <w:t>Evidence artifacts are retained in Jira for at least 12 months.</w:t>
      </w:r>
    </w:p>
    <w:p>
      <w:pPr>
        <w:pStyle w:val="ListBullet"/>
      </w:pPr>
      <w:r>
        <w:t>The process integrates with CRM Platform and depends on Kubernetes for telemetry signals.</w:t>
      </w:r>
    </w:p>
    <w:p>
      <w:pPr>
        <w:pStyle w:val="ListBullet"/>
      </w:pPr>
      <w:r>
        <w:t>The process integrates with CRM Platform and depends on Kubernetes for telemetry signals.</w:t>
      </w:r>
    </w:p>
    <w:p>
      <w:pPr>
        <w:pStyle w:val="ListBullet"/>
      </w:pPr>
      <w:r>
        <w:t>This document aligns with HIPAA requirements and supports EU data residency expectations.</w:t>
      </w:r>
    </w:p>
    <w:p>
      <w:pPr>
        <w:pStyle w:val="ListBullet"/>
      </w:pPr>
      <w:r>
        <w:t>The Data Platform organization uses Kubernetes to enforce consistent service baselines.</w:t>
      </w:r>
    </w:p>
    <w:p>
      <w:pPr>
        <w:pStyle w:val="Heading1"/>
      </w:pPr>
      <w:r>
        <w:t>Configuration</w:t>
      </w:r>
    </w:p>
    <w:p>
      <w:r>
        <w:t>The Data Platform team coordinates with Systems Engineer to maintain operational readiness. Regional teams in EU follow the same policy with localized legal review. Systems are monitored via Kubernetes and alert routing in Jira.</w:t>
      </w:r>
    </w:p>
    <w:p>
      <w:r>
        <w:t>We prioritize customer impact, data integrity, and regulatory alignment. The Data Platform team coordinates with Systems Engineer to maintain operational readiness.</w:t>
      </w:r>
    </w:p>
    <w:p>
      <w:pPr>
        <w:pStyle w:val="ListBullet"/>
      </w:pPr>
      <w:r>
        <w:t>The process integrates with CRM Platform and depends on Kubernetes for telemetry signals.</w:t>
      </w:r>
    </w:p>
    <w:p>
      <w:pPr>
        <w:pStyle w:val="ListBullet"/>
      </w:pPr>
      <w:r>
        <w:t>The Data Platform team coordinates with Systems Engineer to maintain operational readiness.</w:t>
      </w:r>
    </w:p>
    <w:p>
      <w:pPr>
        <w:pStyle w:val="ListBullet"/>
      </w:pPr>
      <w:r>
        <w:t>Systems are monitored via Kubernetes and alert routing in Jira.</w:t>
      </w:r>
    </w:p>
    <w:p>
      <w:pPr>
        <w:pStyle w:val="ListBullet"/>
      </w:pPr>
      <w:r>
        <w:t>Risk acceptance must be documented and revalidated each quarter.</w:t>
      </w:r>
    </w:p>
    <w:p>
      <w:pPr>
        <w:pStyle w:val="ListBullet"/>
      </w:pPr>
      <w:r>
        <w:t>Teams must log requests in Jira and track outcomes in CRM Platform for audit readiness.</w:t>
      </w:r>
    </w:p>
    <w:p>
      <w:pPr>
        <w:pStyle w:val="Heading1"/>
      </w:pPr>
      <w:r>
        <w:t>Troubleshooting</w:t>
      </w:r>
    </w:p>
    <w:p>
      <w:r>
        <w:t>We prioritize customer impact, data integrity, and regulatory alignment. Evidence artifacts are retained in Jira for at least 12 months. Stakeholders include the Systems Engineer, service owner, and compliance lead for approvals.</w:t>
      </w:r>
    </w:p>
    <w:p>
      <w:r>
        <w:t>This document aligns with HIPAA requirements and supports EU data residency expectations. Systems are monitored via Kubernetes and alert routing in Jira.</w:t>
      </w:r>
    </w:p>
    <w:p>
      <w:pPr>
        <w:pStyle w:val="ListBullet"/>
      </w:pPr>
      <w:r>
        <w:t>Evidence artifacts are retained in Jira for at least 12 months.</w:t>
      </w:r>
    </w:p>
    <w:p>
      <w:pPr>
        <w:pStyle w:val="ListBullet"/>
      </w:pPr>
      <w:r>
        <w:t>The Data Platform organization uses Kubernetes to enforce consistent service baselines.</w:t>
      </w:r>
    </w:p>
    <w:p>
      <w:pPr>
        <w:pStyle w:val="ListBullet"/>
      </w:pPr>
      <w:r>
        <w:t>The Data Platform team coordinates with Systems Engineer to maintain operational readiness.</w:t>
      </w:r>
    </w:p>
    <w:p>
      <w:pPr>
        <w:pStyle w:val="ListBullet"/>
      </w:pPr>
      <w:r>
        <w:t>All changes require peer review and validation in the CRM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Systems Engineer</w:t>
            </w:r>
          </w:p>
        </w:tc>
        <w:tc>
          <w:tcPr>
            <w:tcW w:type="dxa" w:w="2880"/>
          </w:tcPr>
          <w:p>
            <w:r>
              <w:t>Blocked</w:t>
            </w:r>
          </w:p>
        </w:tc>
      </w:tr>
      <w:tr>
        <w:tc>
          <w:tcPr>
            <w:tcW w:type="dxa" w:w="2880"/>
          </w:tcPr>
          <w:p>
            <w:r>
              <w:t>Patch window</w:t>
            </w:r>
          </w:p>
        </w:tc>
        <w:tc>
          <w:tcPr>
            <w:tcW w:type="dxa" w:w="2880"/>
          </w:tcPr>
          <w:p>
            <w:r>
              <w:t>Security</w:t>
            </w:r>
          </w:p>
        </w:tc>
        <w:tc>
          <w:tcPr>
            <w:tcW w:type="dxa" w:w="2880"/>
          </w:tcPr>
          <w:p>
            <w:r>
              <w:t>In Progress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Access review</w:t>
            </w:r>
          </w:p>
        </w:tc>
        <w:tc>
          <w:tcPr>
            <w:tcW w:type="dxa" w:w="2880"/>
          </w:tcPr>
          <w:p>
            <w:r>
              <w:t>Systems Engineer</w:t>
            </w:r>
          </w:p>
        </w:tc>
        <w:tc>
          <w:tcPr>
            <w:tcW w:type="dxa" w:w="2880"/>
          </w:tcPr>
          <w:p>
            <w:r>
              <w:t>Complete</w:t>
            </w:r>
          </w:p>
        </w:tc>
      </w:tr>
    </w:tbl>
    <w:p>
      <w:pPr>
        <w:pStyle w:val="Heading1"/>
      </w:pPr>
      <w:r>
        <w:t>Maintenance</w:t>
      </w:r>
    </w:p>
    <w:p>
      <w:r>
        <w:t>All incidents are tagged with severity and mapped to service tiers. Escalations should follow the on-call rotation with a response target of 45 minutes. Regional teams in EU follow the same policy with localized legal review. All incidents are tagged with severity and mapped to service tiers.</w:t>
      </w:r>
    </w:p>
    <w:p>
      <w:pPr>
        <w:pStyle w:val="ListBullet"/>
      </w:pPr>
      <w:r>
        <w:t>Escalations should follow the on-call rotation with a response target of 45 minutes.</w:t>
      </w:r>
    </w:p>
    <w:p>
      <w:pPr>
        <w:pStyle w:val="ListBullet"/>
      </w:pPr>
      <w:r>
        <w:t>This document aligns with HIPAA requirements and supports EU data residency expectations.</w:t>
      </w:r>
    </w:p>
    <w:p>
      <w:pPr>
        <w:pStyle w:val="ListBullet"/>
      </w:pPr>
      <w:r>
        <w:t>We prioritize customer impact, data integrity, and regulatory alignment.</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Incident drill</w:t>
            </w:r>
          </w:p>
        </w:tc>
        <w:tc>
          <w:tcPr>
            <w:tcW w:type="dxa" w:w="2880"/>
          </w:tcPr>
          <w:p>
            <w:r>
              <w:t>Data Platform</w:t>
            </w:r>
          </w:p>
        </w:tc>
        <w:tc>
          <w:tcPr>
            <w:tcW w:type="dxa" w:w="2880"/>
          </w:tcPr>
          <w:p>
            <w:r>
              <w:t>Complete</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Vendor check</w:t>
            </w:r>
          </w:p>
        </w:tc>
        <w:tc>
          <w:tcPr>
            <w:tcW w:type="dxa" w:w="2880"/>
          </w:tcPr>
          <w:p>
            <w:r>
              <w:t>Systems Engineer</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