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Data Platform US v2.1</w:t>
      </w:r>
    </w:p>
    <w:p>
      <w:r>
        <w:t>Department: Data Platform</w:t>
      </w:r>
    </w:p>
    <w:p>
      <w:r>
        <w:t>Author: Riley Smith</w:t>
      </w:r>
    </w:p>
    <w:p>
      <w:r>
        <w:t>Created date: 2024-03-03</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Evidence artifacts are retained in Confluence for at least 36 months. Audit sampling occurs monthly and is summarized in leadership dashboards. The process integrates with CRM Platform and depends on ServiceNow for telemetry signals.</w:t>
      </w:r>
    </w:p>
    <w:p>
      <w:pPr>
        <w:pStyle w:val="ListBullet"/>
      </w:pPr>
      <w:r>
        <w:t>All incidents are tagged with severity and mapped to service tiers.</w:t>
      </w:r>
    </w:p>
    <w:p>
      <w:pPr>
        <w:pStyle w:val="ListBullet"/>
      </w:pPr>
      <w:r>
        <w:t>Evidence artifacts are retained in Confluence for at least 36 months.</w:t>
      </w:r>
    </w:p>
    <w:p>
      <w:pPr>
        <w:pStyle w:val="ListBullet"/>
      </w:pPr>
      <w:r>
        <w:t>Evidence artifacts are retained in Confluence for at least 36 months.</w:t>
      </w:r>
    </w:p>
    <w:p>
      <w:pPr>
        <w:pStyle w:val="Heading1"/>
      </w:pPr>
      <w:r>
        <w:t>Installation</w:t>
      </w:r>
    </w:p>
    <w:p>
      <w:r>
        <w:t>Regional teams in US follow the same policy with localized legal review. We prioritize customer impact, data integrity, and regulatory alignment. Regional teams in US follow the same policy with localized legal review. Systems are monitored via ServiceNow and alert routing in Confluence.</w:t>
      </w:r>
    </w:p>
    <w:p>
      <w:r>
        <w:t>Stakeholders include the Finance Analyst, service owner, and compliance lead for approvals. Escalations should follow the on-call rotation with a response target of 15 minutes. Teams must log requests in Confluence and track outcomes in CRM Platform for audit readiness.</w:t>
      </w:r>
    </w:p>
    <w:p>
      <w:pPr>
        <w:pStyle w:val="ListBullet"/>
      </w:pPr>
      <w:r>
        <w:t>This document aligns with ISO 27001 requirements and supports US data residency expectations.</w:t>
      </w:r>
    </w:p>
    <w:p>
      <w:pPr>
        <w:pStyle w:val="ListBullet"/>
      </w:pPr>
      <w:r>
        <w:t>Risk acceptance must be documented and revalidated each quarter.</w:t>
      </w:r>
    </w:p>
    <w:p>
      <w:pPr>
        <w:pStyle w:val="ListBullet"/>
      </w:pPr>
      <w:r>
        <w:t>This document aligns with ISO 27001 requirements and supports US data residency expectations.</w:t>
      </w:r>
    </w:p>
    <w:p>
      <w:pPr>
        <w:pStyle w:val="ListBullet"/>
      </w:pPr>
      <w:r>
        <w:t>The Data Platform team coordinates with Finance Analyst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Planned</w:t>
            </w:r>
          </w:p>
        </w:tc>
      </w:tr>
      <w:tr>
        <w:tc>
          <w:tcPr>
            <w:tcW w:type="dxa" w:w="2880"/>
          </w:tcPr>
          <w:p>
            <w:r>
              <w:t>Patch window</w:t>
            </w:r>
          </w:p>
        </w:tc>
        <w:tc>
          <w:tcPr>
            <w:tcW w:type="dxa" w:w="2880"/>
          </w:tcPr>
          <w:p>
            <w:r>
              <w:t>Security</w:t>
            </w:r>
          </w:p>
        </w:tc>
        <w:tc>
          <w:tcPr>
            <w:tcW w:type="dxa" w:w="2880"/>
          </w:tcPr>
          <w:p>
            <w:r>
              <w:t>Blocked</w:t>
            </w:r>
          </w:p>
        </w:tc>
      </w:tr>
    </w:tbl>
    <w:p>
      <w:pPr>
        <w:pStyle w:val="Heading1"/>
      </w:pPr>
      <w:r>
        <w:t>Configuration</w:t>
      </w:r>
    </w:p>
    <w:p>
      <w:r>
        <w:t>We prioritize customer impact, data integrity, and regulatory alignment. The process integrates with CRM Platform and depends on ServiceNow for telemetry signals. The process integrates with CRM Platform and depends on ServiceNow for telemetry signals.</w:t>
      </w:r>
    </w:p>
    <w:p>
      <w:r>
        <w:t>Regional teams in US follow the same policy with localized legal review. This document aligns with ISO 27001 requirements and supports US data residency expectations. Escalations should follow the on-call rotation with a response target of 15 minutes.</w:t>
      </w:r>
    </w:p>
    <w:p>
      <w:pPr>
        <w:pStyle w:val="ListBullet"/>
      </w:pPr>
      <w:r>
        <w:t>Risk acceptance must be documented and revalidated each quarter.</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The process integrates with CRM Platform and depends on ServiceNow for telemetry signals.</w:t>
      </w:r>
    </w:p>
    <w:p>
      <w:pPr>
        <w:pStyle w:val="ListBullet"/>
      </w:pPr>
      <w:r>
        <w:t>Evidence artifacts are retained in Confluence for at least 36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Finance Analyst</w:t>
            </w:r>
          </w:p>
        </w:tc>
        <w:tc>
          <w:tcPr>
            <w:tcW w:type="dxa" w:w="2880"/>
          </w:tcPr>
          <w:p>
            <w:r>
              <w:t>Blocked</w:t>
            </w:r>
          </w:p>
        </w:tc>
      </w:tr>
      <w:tr>
        <w:tc>
          <w:tcPr>
            <w:tcW w:type="dxa" w:w="2880"/>
          </w:tcPr>
          <w:p>
            <w:r>
              <w:t>Patch window</w:t>
            </w:r>
          </w:p>
        </w:tc>
        <w:tc>
          <w:tcPr>
            <w:tcW w:type="dxa" w:w="2880"/>
          </w:tcPr>
          <w:p>
            <w:r>
              <w:t>Data Platform</w:t>
            </w:r>
          </w:p>
        </w:tc>
        <w:tc>
          <w:tcPr>
            <w:tcW w:type="dxa" w:w="2880"/>
          </w:tcPr>
          <w:p>
            <w:r>
              <w:t>Complete</w:t>
            </w:r>
          </w:p>
        </w:tc>
      </w:tr>
      <w:tr>
        <w:tc>
          <w:tcPr>
            <w:tcW w:type="dxa" w:w="2880"/>
          </w:tcPr>
          <w:p>
            <w:r>
              <w:t>Incident drill</w:t>
            </w:r>
          </w:p>
        </w:tc>
        <w:tc>
          <w:tcPr>
            <w:tcW w:type="dxa" w:w="2880"/>
          </w:tcPr>
          <w:p>
            <w:r>
              <w:t>Finance Analyst</w:t>
            </w:r>
          </w:p>
        </w:tc>
        <w:tc>
          <w:tcPr>
            <w:tcW w:type="dxa" w:w="2880"/>
          </w:tcPr>
          <w:p>
            <w:r>
              <w:t>Planned</w:t>
            </w:r>
          </w:p>
        </w:tc>
      </w:tr>
      <w:tr>
        <w:tc>
          <w:tcPr>
            <w:tcW w:type="dxa" w:w="2880"/>
          </w:tcPr>
          <w:p>
            <w:r>
              <w:t>Access review</w:t>
            </w:r>
          </w:p>
        </w:tc>
        <w:tc>
          <w:tcPr>
            <w:tcW w:type="dxa" w:w="2880"/>
          </w:tcPr>
          <w:p>
            <w:r>
              <w:t>Data Platform</w:t>
            </w:r>
          </w:p>
        </w:tc>
        <w:tc>
          <w:tcPr>
            <w:tcW w:type="dxa" w:w="2880"/>
          </w:tcPr>
          <w:p>
            <w:r>
              <w:t>Blocked</w:t>
            </w:r>
          </w:p>
        </w:tc>
      </w:tr>
    </w:tbl>
    <w:p>
      <w:pPr>
        <w:pStyle w:val="Heading1"/>
      </w:pPr>
      <w:r>
        <w:t>Troubleshooting</w:t>
      </w:r>
    </w:p>
    <w:p>
      <w:r>
        <w:t>Evidence artifacts are retained in Confluence for at least 36 months. All incidents are tagged with severity and mapped to service tiers. Systems are monitored via ServiceNow and alert routing in Confluence. Risk acceptance must be documented and revalidated each quarter.</w:t>
      </w:r>
    </w:p>
    <w:p>
      <w:r>
        <w:t>All changes require peer review and validation in the CRM Platform before production promotion. Stakeholders include the Finance Analyst, service owner, and compliance lead for approvals. Regional teams in US follow the same policy with localized legal review.</w:t>
      </w:r>
    </w:p>
    <w:p>
      <w:pPr>
        <w:pStyle w:val="ListBullet"/>
      </w:pPr>
      <w:r>
        <w:t>Stakeholders include the Finance Analyst, service owner, and compliance lead for approvals.</w:t>
      </w:r>
    </w:p>
    <w:p>
      <w:pPr>
        <w:pStyle w:val="ListBullet"/>
      </w:pPr>
      <w:r>
        <w:t>Teams must log requests in Confluence and track outcomes in CRM Platform for audit readiness.</w:t>
      </w:r>
    </w:p>
    <w:p>
      <w:pPr>
        <w:pStyle w:val="ListBullet"/>
      </w:pPr>
      <w:r>
        <w:t>Evidence artifacts are retained in Confluence for at least 36 months.</w:t>
      </w:r>
    </w:p>
    <w:p>
      <w:pPr>
        <w:pStyle w:val="ListBullet"/>
      </w:pPr>
      <w:r>
        <w:t>We prioritize customer impact, data integrity, and regulatory alignment.</w:t>
      </w:r>
    </w:p>
    <w:p>
      <w:pPr>
        <w:pStyle w:val="ListBullet"/>
      </w:pPr>
      <w:r>
        <w:t>All changes require peer review and validation in the CRM Platform before production promotion.</w:t>
      </w:r>
    </w:p>
    <w:p>
      <w:pPr>
        <w:pStyle w:val="ListBullet"/>
      </w:pPr>
      <w:r>
        <w:t>The Data Platform organization uses ServiceNow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Blocked</w:t>
            </w:r>
          </w:p>
        </w:tc>
      </w:tr>
      <w:tr>
        <w:tc>
          <w:tcPr>
            <w:tcW w:type="dxa" w:w="2880"/>
          </w:tcPr>
          <w:p>
            <w:r>
              <w:t>Backup validation</w:t>
            </w:r>
          </w:p>
        </w:tc>
        <w:tc>
          <w:tcPr>
            <w:tcW w:type="dxa" w:w="2880"/>
          </w:tcPr>
          <w:p>
            <w:r>
              <w:t>Operations</w:t>
            </w:r>
          </w:p>
        </w:tc>
        <w:tc>
          <w:tcPr>
            <w:tcW w:type="dxa" w:w="2880"/>
          </w:tcPr>
          <w:p>
            <w:r>
              <w:t>Planned</w:t>
            </w:r>
          </w:p>
        </w:tc>
      </w:tr>
    </w:tbl>
    <w:p>
      <w:pPr>
        <w:pStyle w:val="Heading1"/>
      </w:pPr>
      <w:r>
        <w:t>Maintenance</w:t>
      </w:r>
    </w:p>
    <w:p>
      <w:r>
        <w:t>The Data Platform organization uses ServiceNow to enforce consistent service baselines. All incidents are tagged with severity and mapped to service tiers. Escalations should follow the on-call rotation with a response target of 15 minutes.</w:t>
      </w:r>
    </w:p>
    <w:p>
      <w:pPr>
        <w:pStyle w:val="ListBullet"/>
      </w:pPr>
      <w:r>
        <w:t>The Data Platform organization uses ServiceNow to enforce consistent service baselines.</w:t>
      </w:r>
    </w:p>
    <w:p>
      <w:pPr>
        <w:pStyle w:val="ListBullet"/>
      </w:pPr>
      <w:r>
        <w:t>Audit sampling occurs monthly and is summarized in leadership dashboards.</w:t>
      </w:r>
    </w:p>
    <w:p>
      <w:pPr>
        <w:pStyle w:val="ListBullet"/>
      </w:pPr>
      <w:r>
        <w:t>Systems are monitored via ServiceNow and alert routing in Confluence.</w:t>
      </w:r>
    </w:p>
    <w:p>
      <w:pPr>
        <w:pStyle w:val="ListBullet"/>
      </w:pPr>
      <w:r>
        <w:t>All incidents are tagged with severity and mapped to service tiers.</w:t>
      </w:r>
    </w:p>
    <w:p>
      <w:pPr>
        <w:pStyle w:val="ListBullet"/>
      </w:pPr>
      <w:r>
        <w:t>Escalations should follow the on-call rotation with a response target of 15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Blocked</w:t>
            </w:r>
          </w:p>
        </w:tc>
      </w:tr>
      <w:tr>
        <w:tc>
          <w:tcPr>
            <w:tcW w:type="dxa" w:w="2880"/>
          </w:tcPr>
          <w:p>
            <w:r>
              <w:t>Incident drill</w:t>
            </w:r>
          </w:p>
        </w:tc>
        <w:tc>
          <w:tcPr>
            <w:tcW w:type="dxa" w:w="2880"/>
          </w:tcPr>
          <w:p>
            <w:r>
              <w:t>Security</w:t>
            </w:r>
          </w:p>
        </w:tc>
        <w:tc>
          <w:tcPr>
            <w:tcW w:type="dxa" w:w="2880"/>
          </w:tcPr>
          <w:p>
            <w:r>
              <w:t>Blocked</w:t>
            </w:r>
          </w:p>
        </w:tc>
      </w:tr>
      <w:tr>
        <w:tc>
          <w:tcPr>
            <w:tcW w:type="dxa" w:w="2880"/>
          </w:tcPr>
          <w:p>
            <w:r>
              <w:t>Backup validation</w:t>
            </w:r>
          </w:p>
        </w:tc>
        <w:tc>
          <w:tcPr>
            <w:tcW w:type="dxa" w:w="2880"/>
          </w:tcPr>
          <w:p>
            <w:r>
              <w:t>Finance Analyst</w:t>
            </w:r>
          </w:p>
        </w:tc>
        <w:tc>
          <w:tcPr>
            <w:tcW w:type="dxa" w:w="2880"/>
          </w:tcPr>
          <w:p>
            <w:r>
              <w:t>Planned</w:t>
            </w:r>
          </w:p>
        </w:tc>
      </w:tr>
      <w:tr>
        <w:tc>
          <w:tcPr>
            <w:tcW w:type="dxa" w:w="2880"/>
          </w:tcPr>
          <w:p>
            <w:r>
              <w:t>Patch window</w:t>
            </w:r>
          </w:p>
        </w:tc>
        <w:tc>
          <w:tcPr>
            <w:tcW w:type="dxa" w:w="2880"/>
          </w:tcPr>
          <w:p>
            <w:r>
              <w:t>Data Platform</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