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Engineering APAC v3.0</w:t>
      </w:r>
    </w:p>
    <w:p>
      <w:r>
        <w:t>Department: Engineering</w:t>
      </w:r>
    </w:p>
    <w:p>
      <w:r>
        <w:t>Author: Morgan Smith</w:t>
      </w:r>
    </w:p>
    <w:p>
      <w:r>
        <w:t>Created date: 2024-02-13</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All changes require peer review and validation in the Ticketing Platform before production promotion. We prioritize customer impact, data integrity, and regulatory alignment.</w:t>
      </w:r>
    </w:p>
    <w:p>
      <w:r>
        <w:t>Evidence artifacts are retained in Zoom for at least 18 months. We prioritize customer impact, data integrity, and regulatory alignment. All incidents are tagged with severity and mapped to service tiers.</w:t>
      </w:r>
    </w:p>
    <w:p>
      <w:pPr>
        <w:pStyle w:val="ListBullet"/>
      </w:pPr>
      <w:r>
        <w:t>Regional teams in APAC follow the same policy with localized legal review.</w:t>
      </w:r>
    </w:p>
    <w:p>
      <w:pPr>
        <w:pStyle w:val="ListBullet"/>
      </w:pPr>
      <w:r>
        <w:t>Risk acceptance must be documented and revalidated each quarter.</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Escalations should follow the on-call rotation with a response target of 45 minutes.</w:t>
      </w:r>
    </w:p>
    <w:p>
      <w:pPr>
        <w:pStyle w:val="ListBullet"/>
      </w:pPr>
      <w:r>
        <w:t>Systems are monitored via Kafka and alert routing in Zoom.</w:t>
      </w:r>
    </w:p>
    <w:p>
      <w:pPr>
        <w:pStyle w:val="Heading1"/>
      </w:pPr>
      <w:r>
        <w:t>Installation</w:t>
      </w:r>
    </w:p>
    <w:p>
      <w:r>
        <w:t>Escalations should follow the on-call rotation with a response target of 45 minutes. Systems are monitored via Kafka and alert routing in Zoom.</w:t>
      </w:r>
    </w:p>
    <w:p>
      <w:r>
        <w:t>Systems are monitored via Kafka and alert routing in Zoom. The Engineering team coordinates with Systems Engineer to maintain operational readiness. Systems are monitored via Kafka and alert routing in Zoom.</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This document aligns with PCI DSS requirements and supports APAC data residency expectations.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Risk acceptance must be documented and revalidated each quarter.</w:t>
      </w:r>
    </w:p>
    <w:p>
      <w:pPr>
        <w:pStyle w:val="Heading1"/>
      </w:pPr>
      <w:r>
        <w:t>Configuration</w:t>
      </w:r>
    </w:p>
    <w:p>
      <w:r>
        <w:t>All incidents are tagged with severity and mapped to service tiers. We prioritize customer impact, data integrity, and regulatory alignment. Escalations should follow the on-call rotation with a response target of 45 minutes. We prioritize customer impact, data integrity, and regulatory alignment.</w:t>
      </w:r>
    </w:p>
    <w:p>
      <w:r>
        <w:t>The Engineering team coordinates with Systems Engineer to maintain operational readiness. The Engineering team coordinates with Systems Engineer to maintain operational readiness.</w:t>
      </w:r>
    </w:p>
    <w:p>
      <w:pPr>
        <w:pStyle w:val="ListBullet"/>
      </w:pPr>
      <w:r>
        <w:t>The Engineering team coordinates with Systems Engineer to maintain operational readiness.</w:t>
      </w:r>
    </w:p>
    <w:p>
      <w:pPr>
        <w:pStyle w:val="ListBullet"/>
      </w:pPr>
      <w:r>
        <w:t>We prioritize customer impact, data integrity, and regulatory alignment.</w:t>
      </w:r>
    </w:p>
    <w:p>
      <w:pPr>
        <w:pStyle w:val="ListBullet"/>
      </w:pPr>
      <w:r>
        <w:t>The Engineering team coordinates with Systems Engineer to maintain operational readiness.</w:t>
      </w:r>
    </w:p>
    <w:p>
      <w:pPr>
        <w:pStyle w:val="ListBullet"/>
      </w:pPr>
      <w:r>
        <w:t>All changes require peer review and validation in the Ticketing Platform before production promotion.</w:t>
      </w:r>
    </w:p>
    <w:p>
      <w:pPr>
        <w:pStyle w:val="Heading1"/>
      </w:pPr>
      <w:r>
        <w:t>Troubleshooting</w:t>
      </w:r>
    </w:p>
    <w:p>
      <w:r>
        <w:t>All incidents are tagged with severity and mapped to service tiers. Audit sampling occurs monthly and is summarized in leadership dashboards. Regional teams in APAC follow the same policy with localized legal review. The Engineering organization uses Kafka to enforce consistent service baselines.</w:t>
      </w:r>
    </w:p>
    <w:p>
      <w:pPr>
        <w:pStyle w:val="ListBullet"/>
      </w:pPr>
      <w:r>
        <w:t>Evidence artifacts are retained in Zoom for at least 18 months.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Stakeholders include the Systems Engineer, service owner, and compliance lead for approvals.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Systems Engineer</w:t>
            </w:r>
          </w:p>
        </w:tc>
        <w:tc>
          <w:tcPr>
            <w:tcW w:type="dxa" w:w="2880"/>
          </w:tcPr>
          <w:p>
            <w:r>
              <w:t>Blocked</w:t>
            </w:r>
          </w:p>
        </w:tc>
      </w:tr>
      <w:tr>
        <w:tc>
          <w:tcPr>
            <w:tcW w:type="dxa" w:w="2880"/>
          </w:tcPr>
          <w:p>
            <w:r>
              <w:t>Vendor check</w:t>
            </w:r>
          </w:p>
        </w:tc>
        <w:tc>
          <w:tcPr>
            <w:tcW w:type="dxa" w:w="2880"/>
          </w:tcPr>
          <w:p>
            <w:r>
              <w:t>Systems Engineer</w:t>
            </w:r>
          </w:p>
        </w:tc>
        <w:tc>
          <w:tcPr>
            <w:tcW w:type="dxa" w:w="2880"/>
          </w:tcPr>
          <w:p>
            <w:r>
              <w:t>Planned</w:t>
            </w:r>
          </w:p>
        </w:tc>
      </w:tr>
      <w:tr>
        <w:tc>
          <w:tcPr>
            <w:tcW w:type="dxa" w:w="2880"/>
          </w:tcPr>
          <w:p>
            <w:r>
              <w:t>Incident drill</w:t>
            </w:r>
          </w:p>
        </w:tc>
        <w:tc>
          <w:tcPr>
            <w:tcW w:type="dxa" w:w="2880"/>
          </w:tcPr>
          <w:p>
            <w:r>
              <w:t>Operations</w:t>
            </w:r>
          </w:p>
        </w:tc>
        <w:tc>
          <w:tcPr>
            <w:tcW w:type="dxa" w:w="2880"/>
          </w:tcPr>
          <w:p>
            <w:r>
              <w:t>In Progress</w:t>
            </w:r>
          </w:p>
        </w:tc>
      </w:tr>
    </w:tbl>
    <w:p>
      <w:pPr>
        <w:pStyle w:val="Heading1"/>
      </w:pPr>
      <w:r>
        <w:t>Maintenance</w:t>
      </w:r>
    </w:p>
    <w:p>
      <w:r>
        <w:t>Audit sampling occurs monthly and is summarized in leadership dashboards. Regional teams in APAC follow the same policy with localized legal review.</w:t>
      </w:r>
    </w:p>
    <w:p>
      <w:pPr>
        <w:pStyle w:val="ListBullet"/>
      </w:pPr>
      <w:r>
        <w:t>Regional teams in APAC follow the same policy with localized legal review.</w:t>
      </w:r>
    </w:p>
    <w:p>
      <w:pPr>
        <w:pStyle w:val="ListBullet"/>
      </w:pPr>
      <w:r>
        <w:t>The process integrates with Ticketing Platform and depends on Kafka for telemetry signals.</w:t>
      </w:r>
    </w:p>
    <w:p>
      <w:pPr>
        <w:pStyle w:val="ListBullet"/>
      </w:pPr>
      <w:r>
        <w:t>We prioritize customer impact, data integrity, and regulatory alignment.</w:t>
      </w:r>
    </w:p>
    <w:p>
      <w:pPr>
        <w:pStyle w:val="ListBullet"/>
      </w:pPr>
      <w:r>
        <w:t>Stakeholders include the Systems Engineer, service owner, and compliance lead for approvals.</w:t>
      </w:r>
    </w:p>
    <w:p>
      <w:pPr>
        <w:pStyle w:val="ListBullet"/>
      </w:pPr>
      <w:r>
        <w:t>Stakeholders include the Systems Engineer, service owner, and compliance lead for approvals.</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