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Manuals - Engineering APAC v1.2</w:t>
      </w:r>
    </w:p>
    <w:p>
      <w:r>
        <w:t>Department: Engineering</w:t>
      </w:r>
    </w:p>
    <w:p>
      <w:r>
        <w:t>Author: Jordan Brown</w:t>
      </w:r>
    </w:p>
    <w:p>
      <w:r>
        <w:t>Created date: 2024-02-29</w:t>
      </w:r>
    </w:p>
    <w:p>
      <w:r>
        <w:t>Region: APAC</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Product Overview</w:t>
      </w:r>
    </w:p>
    <w:p>
      <w:r>
        <w:t>Stakeholders include the Platform Engineer, service owner, and compliance lead for approvals. We prioritize customer impact, data integrity, and regulatory alignment.</w:t>
      </w:r>
    </w:p>
    <w:p>
      <w:pPr>
        <w:pStyle w:val="ListBullet"/>
      </w:pPr>
      <w:r>
        <w:t>Systems are monitored via Snowflake and alert routing in Workday.</w:t>
      </w:r>
    </w:p>
    <w:p>
      <w:pPr>
        <w:pStyle w:val="ListBullet"/>
      </w:pPr>
      <w:r>
        <w:t>All incidents are tagged with severity and mapped to service tiers.</w:t>
      </w:r>
    </w:p>
    <w:p>
      <w:pPr>
        <w:pStyle w:val="ListBullet"/>
      </w:pPr>
      <w:r>
        <w:t>Systems are monitored via Snowflake and alert routing in Workday.</w:t>
      </w:r>
    </w:p>
    <w:p>
      <w:pPr>
        <w:pStyle w:val="Heading1"/>
      </w:pPr>
      <w:r>
        <w:t>Installation</w:t>
      </w:r>
    </w:p>
    <w:p>
      <w:r>
        <w:t>Audit sampling occurs monthly and is summarized in leadership dashboards. The process integrates with CI/CD Pipeline and depends on Snowflake for telemetry signals. Stakeholders include the Platform Engineer, service owner, and compliance lead for approvals.</w:t>
      </w:r>
    </w:p>
    <w:p>
      <w:r>
        <w:t>All incidents are tagged with severity and mapped to service tiers. We prioritize customer impact, data integrity, and regulatory alignment. The Engineering team coordinates with Platform Engineer to maintain operational readiness. Evidence artifacts are retained in Workday for at least 36 months.</w:t>
      </w:r>
    </w:p>
    <w:p>
      <w:pPr>
        <w:pStyle w:val="ListBullet"/>
      </w:pPr>
      <w:r>
        <w:t>Evidence artifacts are retained in Workday for at least 36 months.</w:t>
      </w:r>
    </w:p>
    <w:p>
      <w:pPr>
        <w:pStyle w:val="ListBullet"/>
      </w:pPr>
      <w:r>
        <w:t>Escalations should follow the on-call rotation with a response target of 45 minutes.</w:t>
      </w:r>
    </w:p>
    <w:p>
      <w:pPr>
        <w:pStyle w:val="ListBullet"/>
      </w:pPr>
      <w:r>
        <w:t>Audit sampling occurs monthly and is summarized in leadership dashboards.</w:t>
      </w:r>
    </w:p>
    <w:p>
      <w:pPr>
        <w:pStyle w:val="ListBullet"/>
      </w:pPr>
      <w:r>
        <w:t>We prioritize customer impact, data integrity, and regulatory alignment.</w:t>
      </w:r>
    </w:p>
    <w:p>
      <w:pPr>
        <w:pStyle w:val="ListBullet"/>
      </w:pPr>
      <w:r>
        <w:t>Regional teams in APAC follow the same policy with localized legal review.</w:t>
      </w:r>
    </w:p>
    <w:p>
      <w:pPr>
        <w:pStyle w:val="Heading1"/>
      </w:pPr>
      <w:r>
        <w:t>Configuration</w:t>
      </w:r>
    </w:p>
    <w:p>
      <w:r>
        <w:t>Evidence artifacts are retained in Workday for at least 36 months. Stakeholders include the Platform Engineer, service owner, and compliance lead for approvals. Stakeholders include the Platform Engineer, service owner, and compliance lead for approvals.</w:t>
      </w:r>
    </w:p>
    <w:p>
      <w:r>
        <w:t>Regional teams in APAC follow the same policy with localized legal review. The process integrates with CI/CD Pipeline and depends on Snowflake for telemetry signals. The Engineering team coordinates with Platform Engineer to maintain operational readiness. The process integrates with CI/CD Pipeline and depends on Snowflake for telemetry signals.</w:t>
      </w:r>
    </w:p>
    <w:p>
      <w:pPr>
        <w:pStyle w:val="ListBullet"/>
      </w:pPr>
      <w:r>
        <w:t>Teams must log requests in Workday and track outcomes in CI/CD Pipeline for audit readiness.</w:t>
      </w:r>
    </w:p>
    <w:p>
      <w:pPr>
        <w:pStyle w:val="ListBullet"/>
      </w:pPr>
      <w:r>
        <w:t>The Engineering organization uses Snowflake to enforce consistent service baselines.</w:t>
      </w:r>
    </w:p>
    <w:p>
      <w:pPr>
        <w:pStyle w:val="ListBullet"/>
      </w:pPr>
      <w:r>
        <w:t>The Engineering team coordinates with Platform Engineer to maintain operational readiness.</w:t>
      </w:r>
    </w:p>
    <w:p>
      <w:pPr>
        <w:pStyle w:val="ListBullet"/>
      </w:pPr>
      <w:r>
        <w:t>This document aligns with HIPAA requirements and supports APAC data residency expectations.</w:t>
      </w:r>
    </w:p>
    <w:p>
      <w:pPr>
        <w:pStyle w:val="ListBullet"/>
      </w:pPr>
      <w:r>
        <w:t>The Engineering team coordinates with Platform Engineer to maintain operational readiness.</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Platform Engineer</w:t>
            </w:r>
          </w:p>
        </w:tc>
        <w:tc>
          <w:tcPr>
            <w:tcW w:type="dxa" w:w="2880"/>
          </w:tcPr>
          <w:p>
            <w:r>
              <w:t>In Progress</w:t>
            </w:r>
          </w:p>
        </w:tc>
      </w:tr>
      <w:tr>
        <w:tc>
          <w:tcPr>
            <w:tcW w:type="dxa" w:w="2880"/>
          </w:tcPr>
          <w:p>
            <w:r>
              <w:t>Patch window</w:t>
            </w:r>
          </w:p>
        </w:tc>
        <w:tc>
          <w:tcPr>
            <w:tcW w:type="dxa" w:w="2880"/>
          </w:tcPr>
          <w:p>
            <w:r>
              <w:t>Platform Engineer</w:t>
            </w:r>
          </w:p>
        </w:tc>
        <w:tc>
          <w:tcPr>
            <w:tcW w:type="dxa" w:w="2880"/>
          </w:tcPr>
          <w:p>
            <w:r>
              <w:t>In Progress</w:t>
            </w:r>
          </w:p>
        </w:tc>
      </w:tr>
      <w:tr>
        <w:tc>
          <w:tcPr>
            <w:tcW w:type="dxa" w:w="2880"/>
          </w:tcPr>
          <w:p>
            <w:r>
              <w:t>Patch window</w:t>
            </w:r>
          </w:p>
        </w:tc>
        <w:tc>
          <w:tcPr>
            <w:tcW w:type="dxa" w:w="2880"/>
          </w:tcPr>
          <w:p>
            <w:r>
              <w:t>Engineering</w:t>
            </w:r>
          </w:p>
        </w:tc>
        <w:tc>
          <w:tcPr>
            <w:tcW w:type="dxa" w:w="2880"/>
          </w:tcPr>
          <w:p>
            <w:r>
              <w:t>Planned</w:t>
            </w:r>
          </w:p>
        </w:tc>
      </w:tr>
      <w:tr>
        <w:tc>
          <w:tcPr>
            <w:tcW w:type="dxa" w:w="2880"/>
          </w:tcPr>
          <w:p>
            <w:r>
              <w:t>Patch window</w:t>
            </w:r>
          </w:p>
        </w:tc>
        <w:tc>
          <w:tcPr>
            <w:tcW w:type="dxa" w:w="2880"/>
          </w:tcPr>
          <w:p>
            <w:r>
              <w:t>Operations</w:t>
            </w:r>
          </w:p>
        </w:tc>
        <w:tc>
          <w:tcPr>
            <w:tcW w:type="dxa" w:w="2880"/>
          </w:tcPr>
          <w:p>
            <w:r>
              <w:t>In Progress</w:t>
            </w:r>
          </w:p>
        </w:tc>
      </w:tr>
    </w:tbl>
    <w:p>
      <w:pPr>
        <w:pStyle w:val="Heading1"/>
      </w:pPr>
      <w:r>
        <w:t>Troubleshooting</w:t>
      </w:r>
    </w:p>
    <w:p>
      <w:r>
        <w:t>The process integrates with CI/CD Pipeline and depends on Snowflake for telemetry signals. Regional teams in APAC follow the same policy with localized legal review. Risk acceptance must be documented and revalidated each quarter.</w:t>
      </w:r>
    </w:p>
    <w:p>
      <w:pPr>
        <w:pStyle w:val="ListBullet"/>
      </w:pPr>
      <w:r>
        <w:t>This document aligns with HIPAA requirements and supports APAC data residency expectations.</w:t>
      </w:r>
    </w:p>
    <w:p>
      <w:pPr>
        <w:pStyle w:val="ListBullet"/>
      </w:pPr>
      <w:r>
        <w:t>Teams must log requests in Workday and track outcomes in CI/CD Pipeline for audit readiness.</w:t>
      </w:r>
    </w:p>
    <w:p>
      <w:pPr>
        <w:pStyle w:val="ListBullet"/>
      </w:pPr>
      <w:r>
        <w:t>Regional teams in APAC follow the same policy with localized legal review.</w:t>
      </w:r>
    </w:p>
    <w:p>
      <w:pPr>
        <w:pStyle w:val="ListBullet"/>
      </w:pPr>
      <w:r>
        <w:t>Stakeholders include the Platform Engineer, service owner, and compliance lead for approvals.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Platform Engineer</w:t>
            </w:r>
          </w:p>
        </w:tc>
        <w:tc>
          <w:tcPr>
            <w:tcW w:type="dxa" w:w="2880"/>
          </w:tcPr>
          <w:p>
            <w:r>
              <w:t>Complete</w:t>
            </w:r>
          </w:p>
        </w:tc>
      </w:tr>
      <w:tr>
        <w:tc>
          <w:tcPr>
            <w:tcW w:type="dxa" w:w="2880"/>
          </w:tcPr>
          <w:p>
            <w:r>
              <w:t>Access review</w:t>
            </w:r>
          </w:p>
        </w:tc>
        <w:tc>
          <w:tcPr>
            <w:tcW w:type="dxa" w:w="2880"/>
          </w:tcPr>
          <w:p>
            <w:r>
              <w:t>Security</w:t>
            </w:r>
          </w:p>
        </w:tc>
        <w:tc>
          <w:tcPr>
            <w:tcW w:type="dxa" w:w="2880"/>
          </w:tcPr>
          <w:p>
            <w:r>
              <w:t>In Progress</w:t>
            </w:r>
          </w:p>
        </w:tc>
      </w:tr>
      <w:tr>
        <w:tc>
          <w:tcPr>
            <w:tcW w:type="dxa" w:w="2880"/>
          </w:tcPr>
          <w:p>
            <w:r>
              <w:t>Backup validation</w:t>
            </w:r>
          </w:p>
        </w:tc>
        <w:tc>
          <w:tcPr>
            <w:tcW w:type="dxa" w:w="2880"/>
          </w:tcPr>
          <w:p>
            <w:r>
              <w:t>Platform Engineer</w:t>
            </w:r>
          </w:p>
        </w:tc>
        <w:tc>
          <w:tcPr>
            <w:tcW w:type="dxa" w:w="2880"/>
          </w:tcPr>
          <w:p>
            <w:r>
              <w:t>In Progress</w:t>
            </w:r>
          </w:p>
        </w:tc>
      </w:tr>
    </w:tbl>
    <w:p>
      <w:pPr>
        <w:pStyle w:val="Heading1"/>
      </w:pPr>
      <w:r>
        <w:t>Maintenance</w:t>
      </w:r>
    </w:p>
    <w:p>
      <w:r>
        <w:t>Audit sampling occurs monthly and is summarized in leadership dashboards. Audit sampling occurs monthly and is summarized in leadership dashboards. The Engineering organization uses Snowflake to enforce consistent service baselines.</w:t>
      </w:r>
    </w:p>
    <w:p>
      <w:r>
        <w:t>The Engineering organization uses Snowflake to enforce consistent service baselines. The Engineering organization uses Snowflake to enforce consistent service baselines. Audit sampling occurs monthly and is summarized in leadership dashboards. Evidence artifacts are retained in Workday for at least 36 months.</w:t>
      </w:r>
    </w:p>
    <w:p>
      <w:pPr>
        <w:pStyle w:val="ListBullet"/>
      </w:pPr>
      <w:r>
        <w:t>Systems are monitored via Snowflake and alert routing in Workday.</w:t>
      </w:r>
    </w:p>
    <w:p>
      <w:pPr>
        <w:pStyle w:val="ListBullet"/>
      </w:pPr>
      <w:r>
        <w:t>This document aligns with HIPAA requirements and supports APAC data residency expectations.</w:t>
      </w:r>
    </w:p>
    <w:p>
      <w:pPr>
        <w:pStyle w:val="ListBullet"/>
      </w:pPr>
      <w:r>
        <w:t>Regional teams in APAC follow the same policy with localized legal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