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Engineering US v3.0</w:t>
      </w:r>
    </w:p>
    <w:p>
      <w:r>
        <w:t>Department: Engineering</w:t>
      </w:r>
    </w:p>
    <w:p>
      <w:r>
        <w:t>Author: Jordan Lee</w:t>
      </w:r>
    </w:p>
    <w:p>
      <w:r>
        <w:t>Created date: 2025-06-29</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All changes require peer review and validation in the Customer Data Lake before production promotion. The process integrates with Customer Data Lake and depends on Kubernetes for telemetry signals.</w:t>
      </w:r>
    </w:p>
    <w:p>
      <w:r>
        <w:t>Evidence artifacts are retained in Jira for at least 36 months. Regional teams in US follow the same policy with localized legal review. The Engineering team coordinates with SRE to maintain operational readiness. The Engineering organization uses Kubernetes to enforce consistent service baselines.</w:t>
      </w:r>
    </w:p>
    <w:p>
      <w:pPr>
        <w:pStyle w:val="ListBullet"/>
      </w:pPr>
      <w:r>
        <w:t>Regional teams in US follow the same policy with localized legal review.</w:t>
      </w:r>
    </w:p>
    <w:p>
      <w:pPr>
        <w:pStyle w:val="ListBullet"/>
      </w:pPr>
      <w:r>
        <w:t>Stakeholders include the SRE, service owner, and compliance lead for approvals.</w:t>
      </w:r>
    </w:p>
    <w:p>
      <w:pPr>
        <w:pStyle w:val="ListBullet"/>
      </w:pPr>
      <w:r>
        <w:t>Regional teams in US follow the same policy with localized legal review.</w:t>
      </w:r>
    </w:p>
    <w:p>
      <w:pPr>
        <w:pStyle w:val="ListBullet"/>
      </w:pPr>
      <w:r>
        <w:t>Audit sampling occurs monthly and is summarized in leadership dashboards.</w:t>
      </w:r>
    </w:p>
    <w:p>
      <w:pPr>
        <w:pStyle w:val="ListBullet"/>
      </w:pPr>
      <w:r>
        <w:t>The process integrates with Customer Data Lake and depends on Kubernetes for telemetry signals.</w:t>
      </w:r>
    </w:p>
    <w:p>
      <w:pPr>
        <w:pStyle w:val="Heading1"/>
      </w:pPr>
      <w:r>
        <w:t>Installation</w:t>
      </w:r>
    </w:p>
    <w:p>
      <w:r>
        <w:t>This document aligns with HIPAA requirements and supports US data residency expectations. All changes require peer review and validation in the Customer Data Lake before production promotion.</w:t>
      </w:r>
    </w:p>
    <w:p>
      <w:r>
        <w:t>We prioritize customer impact, data integrity, and regulatory alignment. Teams must log requests in Jira and track outcomes in Customer Data Lake for audit readiness. Stakeholders include the SRE, service owner, and compliance lead for approvals.</w:t>
      </w:r>
    </w:p>
    <w:p>
      <w:pPr>
        <w:pStyle w:val="ListBullet"/>
      </w:pPr>
      <w:r>
        <w:t>The Engineering team coordinates with SRE to maintain operational readiness.</w:t>
      </w:r>
    </w:p>
    <w:p>
      <w:pPr>
        <w:pStyle w:val="ListBullet"/>
      </w:pPr>
      <w:r>
        <w:t>Teams must log requests in Jira and track outcomes in Customer Data Lake for audit readiness.</w:t>
      </w:r>
    </w:p>
    <w:p>
      <w:pPr>
        <w:pStyle w:val="ListBullet"/>
      </w:pPr>
      <w:r>
        <w:t>The Engineering organization uses Kubernetes to enforce consistent service baselines.</w:t>
      </w:r>
    </w:p>
    <w:p>
      <w:pPr>
        <w:pStyle w:val="Heading1"/>
      </w:pPr>
      <w:r>
        <w:t>Configuration</w:t>
      </w:r>
    </w:p>
    <w:p>
      <w:r>
        <w:t>Evidence artifacts are retained in Jira for at least 36 months. Stakeholders include the SRE, service owner, and compliance lead for approvals. We prioritize customer impact, data integrity, and regulatory alignment.</w:t>
      </w:r>
    </w:p>
    <w:p>
      <w:pPr>
        <w:pStyle w:val="ListBullet"/>
      </w:pPr>
      <w:r>
        <w:t>Stakeholders include the SRE, service owner, and compliance lead for approvals.</w:t>
      </w:r>
    </w:p>
    <w:p>
      <w:pPr>
        <w:pStyle w:val="ListBullet"/>
      </w:pPr>
      <w:r>
        <w:t>Stakeholders include the SRE, service owner, and compliance lead for approvals.</w:t>
      </w:r>
    </w:p>
    <w:p>
      <w:pPr>
        <w:pStyle w:val="ListBullet"/>
      </w:pPr>
      <w:r>
        <w:t>Regional teams in US follow the same policy with localized legal review.</w:t>
      </w:r>
    </w:p>
    <w:p>
      <w:pPr>
        <w:pStyle w:val="Heading1"/>
      </w:pPr>
      <w:r>
        <w:t>Troubleshooting</w:t>
      </w:r>
    </w:p>
    <w:p>
      <w:r>
        <w:t>Escalations should follow the on-call rotation with a response target of 45 minutes. Systems are monitored via Kubernetes and alert routing in Jira. The Engineering organization uses Kubernetes to enforce consistent service baselines. The process integrates with Customer Data Lake and depends on Kubernetes for telemetry signals.</w:t>
      </w:r>
    </w:p>
    <w:p>
      <w:r>
        <w:t>All changes require peer review and validation in the Customer Data Lake before production promotion. Risk acceptance must be documented and revalidated each quarter.</w:t>
      </w:r>
    </w:p>
    <w:p>
      <w:pPr>
        <w:pStyle w:val="ListBullet"/>
      </w:pPr>
      <w:r>
        <w:t>Regional teams in US follow the same policy with localized legal review.</w:t>
      </w:r>
    </w:p>
    <w:p>
      <w:pPr>
        <w:pStyle w:val="ListBullet"/>
      </w:pPr>
      <w:r>
        <w:t>We prioritize customer impact, data integrity, and regulatory alignment.</w:t>
      </w:r>
    </w:p>
    <w:p>
      <w:pPr>
        <w:pStyle w:val="ListBullet"/>
      </w:pPr>
      <w:r>
        <w:t>The process integrates with Customer Data Lake and depends on Kubernetes for telemetry signals.</w:t>
      </w:r>
    </w:p>
    <w:p>
      <w:pPr>
        <w:pStyle w:val="ListBullet"/>
      </w:pPr>
      <w:r>
        <w:t>Systems are monitored via Kubernetes and alert routing in Jira.</w:t>
      </w:r>
    </w:p>
    <w:p>
      <w:pPr>
        <w:pStyle w:val="ListBullet"/>
      </w:pPr>
      <w:r>
        <w:t>All changes require peer review and validation in the Customer Data Lake before production promotion.</w:t>
      </w:r>
    </w:p>
    <w:p>
      <w:pPr>
        <w:pStyle w:val="ListBullet"/>
      </w:pPr>
      <w:r>
        <w:t>The Engineering team coordinates with SRE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Complete</w:t>
            </w:r>
          </w:p>
        </w:tc>
      </w:tr>
      <w:tr>
        <w:tc>
          <w:tcPr>
            <w:tcW w:type="dxa" w:w="2880"/>
          </w:tcPr>
          <w:p>
            <w:r>
              <w:t>Backup validation</w:t>
            </w:r>
          </w:p>
        </w:tc>
        <w:tc>
          <w:tcPr>
            <w:tcW w:type="dxa" w:w="2880"/>
          </w:tcPr>
          <w:p>
            <w:r>
              <w:t>SRE</w:t>
            </w:r>
          </w:p>
        </w:tc>
        <w:tc>
          <w:tcPr>
            <w:tcW w:type="dxa" w:w="2880"/>
          </w:tcPr>
          <w:p>
            <w:r>
              <w:t>Complete</w:t>
            </w:r>
          </w:p>
        </w:tc>
      </w:tr>
      <w:tr>
        <w:tc>
          <w:tcPr>
            <w:tcW w:type="dxa" w:w="2880"/>
          </w:tcPr>
          <w:p>
            <w:r>
              <w:t>Vendor check</w:t>
            </w:r>
          </w:p>
        </w:tc>
        <w:tc>
          <w:tcPr>
            <w:tcW w:type="dxa" w:w="2880"/>
          </w:tcPr>
          <w:p>
            <w:r>
              <w:t>Security</w:t>
            </w:r>
          </w:p>
        </w:tc>
        <w:tc>
          <w:tcPr>
            <w:tcW w:type="dxa" w:w="2880"/>
          </w:tcPr>
          <w:p>
            <w:r>
              <w:t>Blocked</w:t>
            </w:r>
          </w:p>
        </w:tc>
      </w:tr>
    </w:tbl>
    <w:p>
      <w:pPr>
        <w:pStyle w:val="Heading1"/>
      </w:pPr>
      <w:r>
        <w:t>Maintenance</w:t>
      </w:r>
    </w:p>
    <w:p>
      <w:r>
        <w:t>Systems are monitored via Kubernetes and alert routing in Jira. Teams must log requests in Jira and track outcomes in Customer Data Lake for audit readiness. This document aligns with HIPAA requirements and supports US data residency expectations.</w:t>
      </w:r>
    </w:p>
    <w:p>
      <w:r>
        <w:t>Stakeholders include the SRE, service owner, and compliance lead for approvals. This document aligns with HIPAA requirements and supports US data residency expectations. The process integrates with Customer Data Lake and depends on Kubernetes for telemetry signals.</w:t>
      </w:r>
    </w:p>
    <w:p>
      <w:pPr>
        <w:pStyle w:val="ListBullet"/>
      </w:pPr>
      <w:r>
        <w:t>Risk acceptance must be documented and revalidated each quarter.</w:t>
      </w:r>
    </w:p>
    <w:p>
      <w:pPr>
        <w:pStyle w:val="ListBullet"/>
      </w:pPr>
      <w:r>
        <w:t>Teams must log requests in Jira and track outcomes in Customer Data Lake for audit readiness.</w:t>
      </w:r>
    </w:p>
    <w:p>
      <w:pPr>
        <w:pStyle w:val="ListBullet"/>
      </w:pPr>
      <w:r>
        <w:t>Systems are monitored via Kubernetes and alert routing in Jira.</w:t>
      </w:r>
    </w:p>
    <w:p>
      <w:pPr>
        <w:pStyle w:val="ListBullet"/>
      </w:pPr>
      <w:r>
        <w:t>The Engineering organization uses Kubernetes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Complete</w:t>
            </w:r>
          </w:p>
        </w:tc>
      </w:tr>
      <w:tr>
        <w:tc>
          <w:tcPr>
            <w:tcW w:type="dxa" w:w="2880"/>
          </w:tcPr>
          <w:p>
            <w:r>
              <w:t>Backup validation</w:t>
            </w:r>
          </w:p>
        </w:tc>
        <w:tc>
          <w:tcPr>
            <w:tcW w:type="dxa" w:w="2880"/>
          </w:tcPr>
          <w:p>
            <w:r>
              <w:t>Security</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