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Engineering US v2.0</w:t>
      </w:r>
    </w:p>
    <w:p>
      <w:r>
        <w:t>Department: Engineering</w:t>
      </w:r>
    </w:p>
    <w:p>
      <w:r>
        <w:t>Author: Riley Lee</w:t>
      </w:r>
    </w:p>
    <w:p>
      <w:r>
        <w:t>Created date: 2026-03-28</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This document aligns with ISO 27001 requirements and supports US data residency expectations. Stakeholders include the Compliance Manager, service owner, and compliance lead for approvals.</w:t>
      </w:r>
    </w:p>
    <w:p>
      <w:r>
        <w:t>All incidents are tagged with severity and mapped to service tiers. This document aligns with ISO 27001 requirements and supports US data residency expectations. Audit sampling occurs monthly and is summarized in leadership dashboards. The process integrates with CRM Platform and depends on Azure for telemetry signals.</w:t>
      </w:r>
    </w:p>
    <w:p>
      <w:pPr>
        <w:pStyle w:val="ListBullet"/>
      </w:pPr>
      <w:r>
        <w:t>This document aligns with ISO 27001 requirements and supports US data residency expectations.</w:t>
      </w:r>
    </w:p>
    <w:p>
      <w:pPr>
        <w:pStyle w:val="ListBullet"/>
      </w:pPr>
      <w:r>
        <w:t>We prioritize customer impact, data integrity, and regulatory alignment.</w:t>
      </w:r>
    </w:p>
    <w:p>
      <w:pPr>
        <w:pStyle w:val="ListBullet"/>
      </w:pPr>
      <w:r>
        <w:t>Teams must log requests in Salesforce and track outcomes in CRM Platform for audit readiness.</w:t>
      </w:r>
    </w:p>
    <w:p>
      <w:pPr>
        <w:pStyle w:val="ListBullet"/>
      </w:pPr>
      <w:r>
        <w:t>All incidents are tagged with severity and mapped to service tiers.</w:t>
      </w:r>
    </w:p>
    <w:p>
      <w:pPr>
        <w:pStyle w:val="ListBullet"/>
      </w:pPr>
      <w:r>
        <w:t>Stakeholders include the Compliance Manager, service owner, and compliance lead for approvals.</w:t>
      </w:r>
    </w:p>
    <w:p>
      <w:pPr>
        <w:pStyle w:val="ListBullet"/>
      </w:pPr>
      <w:r>
        <w:t>Teams must log requests in Salesforce and track outcomes in CRM Platform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Engineering</w:t>
            </w:r>
          </w:p>
        </w:tc>
        <w:tc>
          <w:tcPr>
            <w:tcW w:type="dxa" w:w="2880"/>
          </w:tcPr>
          <w:p>
            <w:r>
              <w:t>In Progress</w:t>
            </w:r>
          </w:p>
        </w:tc>
      </w:tr>
      <w:tr>
        <w:tc>
          <w:tcPr>
            <w:tcW w:type="dxa" w:w="2880"/>
          </w:tcPr>
          <w:p>
            <w:r>
              <w:t>Vendor check</w:t>
            </w:r>
          </w:p>
        </w:tc>
        <w:tc>
          <w:tcPr>
            <w:tcW w:type="dxa" w:w="2880"/>
          </w:tcPr>
          <w:p>
            <w:r>
              <w:t>Engineering</w:t>
            </w:r>
          </w:p>
        </w:tc>
        <w:tc>
          <w:tcPr>
            <w:tcW w:type="dxa" w:w="2880"/>
          </w:tcPr>
          <w:p>
            <w:r>
              <w:t>Complete</w:t>
            </w:r>
          </w:p>
        </w:tc>
      </w:tr>
      <w:tr>
        <w:tc>
          <w:tcPr>
            <w:tcW w:type="dxa" w:w="2880"/>
          </w:tcPr>
          <w:p>
            <w:r>
              <w:t>Incident drill</w:t>
            </w:r>
          </w:p>
        </w:tc>
        <w:tc>
          <w:tcPr>
            <w:tcW w:type="dxa" w:w="2880"/>
          </w:tcPr>
          <w:p>
            <w:r>
              <w:t>Security</w:t>
            </w:r>
          </w:p>
        </w:tc>
        <w:tc>
          <w:tcPr>
            <w:tcW w:type="dxa" w:w="2880"/>
          </w:tcPr>
          <w:p>
            <w:r>
              <w:t>Blocked</w:t>
            </w:r>
          </w:p>
        </w:tc>
      </w:tr>
    </w:tbl>
    <w:p>
      <w:pPr>
        <w:pStyle w:val="Heading1"/>
      </w:pPr>
      <w:r>
        <w:t>Installation</w:t>
      </w:r>
    </w:p>
    <w:p>
      <w:r>
        <w:t>All incidents are tagged with severity and mapped to service tiers. The process integrates with CRM Platform and depends on Azure for telemetry signals. All incidents are tagged with severity and mapped to service tiers.</w:t>
      </w:r>
    </w:p>
    <w:p>
      <w:pPr>
        <w:pStyle w:val="ListBullet"/>
      </w:pPr>
      <w:r>
        <w:t>Teams must log requests in Salesforce and track outcomes in CRM Platform for audit readiness.</w:t>
      </w:r>
    </w:p>
    <w:p>
      <w:pPr>
        <w:pStyle w:val="ListBullet"/>
      </w:pPr>
      <w:r>
        <w:t>Stakeholders include the Compliance Manager, service owner, and compliance lead for approvals.</w:t>
      </w:r>
    </w:p>
    <w:p>
      <w:pPr>
        <w:pStyle w:val="ListBullet"/>
      </w:pPr>
      <w:r>
        <w:t>We prioritize customer impact, data integrity, and regulatory alignment.</w:t>
      </w:r>
    </w:p>
    <w:p>
      <w:pPr>
        <w:pStyle w:val="ListBullet"/>
      </w:pPr>
      <w:r>
        <w:t>The process integrates with CRM Platform and depends on Azure for telemetry signals.</w:t>
      </w:r>
    </w:p>
    <w:p>
      <w:pPr>
        <w:pStyle w:val="Heading1"/>
      </w:pPr>
      <w:r>
        <w:t>Configuration</w:t>
      </w:r>
    </w:p>
    <w:p>
      <w:r>
        <w:t>Escalations should follow the on-call rotation with a response target of 15 minutes. All changes require peer review and validation in the CRM Platform before production promotion. Audit sampling occurs monthly and is summarized in leadership dashboards.</w:t>
      </w:r>
    </w:p>
    <w:p>
      <w:pPr>
        <w:pStyle w:val="ListBullet"/>
      </w:pPr>
      <w:r>
        <w:t>All changes require peer review and validation in the CRM Platform before production promotion.</w:t>
      </w:r>
    </w:p>
    <w:p>
      <w:pPr>
        <w:pStyle w:val="ListBullet"/>
      </w:pPr>
      <w:r>
        <w:t>All incidents are tagged with severity and mapped to service tiers.</w:t>
      </w:r>
    </w:p>
    <w:p>
      <w:pPr>
        <w:pStyle w:val="ListBullet"/>
      </w:pPr>
      <w:r>
        <w:t>All changes require peer review and validation in the CRM Platform before production promotion.</w:t>
      </w:r>
    </w:p>
    <w:p>
      <w:pPr>
        <w:pStyle w:val="ListBullet"/>
      </w:pPr>
      <w:r>
        <w:t>The Engineering organization uses Azure to enforce consistent service baselines.</w:t>
      </w:r>
    </w:p>
    <w:p>
      <w:pPr>
        <w:pStyle w:val="ListBullet"/>
      </w:pPr>
      <w:r>
        <w:t>This document aligns with ISO 27001 requirements and supports US data residency expectations.</w:t>
      </w:r>
    </w:p>
    <w:p>
      <w:pPr>
        <w:pStyle w:val="Heading1"/>
      </w:pPr>
      <w:r>
        <w:t>Troubleshooting</w:t>
      </w:r>
    </w:p>
    <w:p>
      <w:r>
        <w:t>All changes require peer review and validation in the CRM Platform before production promotion. Risk acceptance must be documented and revalidated each quarter. This document aligns with ISO 27001 requirements and supports US data residency expectations.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ListBullet"/>
      </w:pPr>
      <w:r>
        <w:t>The Engineering organization uses Azure to enforce consistent service baselines.</w:t>
      </w:r>
    </w:p>
    <w:p>
      <w:pPr>
        <w:pStyle w:val="Heading1"/>
      </w:pPr>
      <w:r>
        <w:t>Maintenance</w:t>
      </w:r>
    </w:p>
    <w:p>
      <w:r>
        <w:t>The Engineering team coordinates with Compliance Manager to maintain operational readiness. Systems are monitored via Azure and alert routing in Salesforce.</w:t>
      </w:r>
    </w:p>
    <w:p>
      <w:pPr>
        <w:pStyle w:val="ListBullet"/>
      </w:pPr>
      <w:r>
        <w:t>Systems are monitored via Azure and alert routing in Salesforce.</w:t>
      </w:r>
    </w:p>
    <w:p>
      <w:pPr>
        <w:pStyle w:val="ListBullet"/>
      </w:pPr>
      <w:r>
        <w:t>The Engineering organization uses Azure to enforce consistent service baselines.</w:t>
      </w:r>
    </w:p>
    <w:p>
      <w:pPr>
        <w:pStyle w:val="ListBullet"/>
      </w:pPr>
      <w:r>
        <w:t>This document aligns with ISO 27001 requirements and supports US data residency expectations.</w:t>
      </w:r>
    </w:p>
    <w:p>
      <w:pPr>
        <w:pStyle w:val="ListBullet"/>
      </w:pPr>
      <w:r>
        <w:t>Evidence artifacts are retained in Salesforce for at least 12 months.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Compliance Manager</w:t>
            </w:r>
          </w:p>
        </w:tc>
        <w:tc>
          <w:tcPr>
            <w:tcW w:type="dxa" w:w="2880"/>
          </w:tcPr>
          <w:p>
            <w:r>
              <w:t>Complete</w:t>
            </w:r>
          </w:p>
        </w:tc>
      </w:tr>
      <w:tr>
        <w:tc>
          <w:tcPr>
            <w:tcW w:type="dxa" w:w="2880"/>
          </w:tcPr>
          <w:p>
            <w:r>
              <w:t>Vendor check</w:t>
            </w:r>
          </w:p>
        </w:tc>
        <w:tc>
          <w:tcPr>
            <w:tcW w:type="dxa" w:w="2880"/>
          </w:tcPr>
          <w:p>
            <w:r>
              <w:t>Security</w:t>
            </w:r>
          </w:p>
        </w:tc>
        <w:tc>
          <w:tcPr>
            <w:tcW w:type="dxa" w:w="2880"/>
          </w:tcPr>
          <w:p>
            <w:r>
              <w:t>Complete</w:t>
            </w:r>
          </w:p>
        </w:tc>
      </w:tr>
      <w:tr>
        <w:tc>
          <w:tcPr>
            <w:tcW w:type="dxa" w:w="2880"/>
          </w:tcPr>
          <w:p>
            <w:r>
              <w:t>Access review</w:t>
            </w:r>
          </w:p>
        </w:tc>
        <w:tc>
          <w:tcPr>
            <w:tcW w:type="dxa" w:w="2880"/>
          </w:tcPr>
          <w:p>
            <w:r>
              <w:t>Engineering</w:t>
            </w:r>
          </w:p>
        </w:tc>
        <w:tc>
          <w:tcPr>
            <w:tcW w:type="dxa" w:w="2880"/>
          </w:tcPr>
          <w:p>
            <w:r>
              <w:t>Complete</w:t>
            </w:r>
          </w:p>
        </w:tc>
      </w:tr>
      <w:tr>
        <w:tc>
          <w:tcPr>
            <w:tcW w:type="dxa" w:w="2880"/>
          </w:tcPr>
          <w:p>
            <w:r>
              <w:t>Backup validation</w:t>
            </w:r>
          </w:p>
        </w:tc>
        <w:tc>
          <w:tcPr>
            <w:tcW w:type="dxa" w:w="2880"/>
          </w:tcPr>
          <w:p>
            <w:r>
              <w:t>Engineering</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