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Finance APAC v3.0</w:t>
      </w:r>
    </w:p>
    <w:p>
      <w:r>
        <w:t>Department: Finance</w:t>
      </w:r>
    </w:p>
    <w:p>
      <w:r>
        <w:t>Author: Taylor Smith</w:t>
      </w:r>
    </w:p>
    <w:p>
      <w:r>
        <w:t>Created date: 2024-02-09</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The Finance team coordinates with SRE to maintain operational readiness. Audit sampling occurs monthly and is summarized in leadership dashboards.</w:t>
      </w:r>
    </w:p>
    <w:p>
      <w:pPr>
        <w:pStyle w:val="ListBullet"/>
      </w:pPr>
      <w:r>
        <w:t>Regional teams in APAC follow the same policy with localized legal review.</w:t>
      </w:r>
    </w:p>
    <w:p>
      <w:pPr>
        <w:pStyle w:val="ListBullet"/>
      </w:pPr>
      <w:r>
        <w:t>Evidence artifacts are retained in Zoom for at least 24 months.</w:t>
      </w:r>
    </w:p>
    <w:p>
      <w:pPr>
        <w:pStyle w:val="ListBullet"/>
      </w:pPr>
      <w:r>
        <w:t>Risk acceptance must be documented and revalidated each quarter.</w:t>
      </w:r>
    </w:p>
    <w:p>
      <w:pPr>
        <w:pStyle w:val="ListBullet"/>
      </w:pPr>
      <w:r>
        <w:t>Teams must log requests in Zoom and track outcomes in Document Repository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Backup validation</w:t>
            </w:r>
          </w:p>
        </w:tc>
        <w:tc>
          <w:tcPr>
            <w:tcW w:type="dxa" w:w="2880"/>
          </w:tcPr>
          <w:p>
            <w:r>
              <w:t>SRE</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Installation</w:t>
      </w:r>
    </w:p>
    <w:p>
      <w:r>
        <w:t>Evidence artifacts are retained in Zoom for at least 24 months. Escalations should follow the on-call rotation with a response target of 30 minutes.</w:t>
      </w:r>
    </w:p>
    <w:p>
      <w:r>
        <w:t>The Finance team coordinates with SRE to maintain operational readiness. Evidence artifacts are retained in Zoom for at least 24 months.</w:t>
      </w:r>
    </w:p>
    <w:p>
      <w:pPr>
        <w:pStyle w:val="ListBullet"/>
      </w:pPr>
      <w:r>
        <w:t>This document aligns with GDPR requirements and supports APAC data residency expectations.</w:t>
      </w:r>
    </w:p>
    <w:p>
      <w:pPr>
        <w:pStyle w:val="ListBullet"/>
      </w:pPr>
      <w:r>
        <w:t>Teams must log requests in Zoom and track outcomes in Document Repository for audit readiness.</w:t>
      </w:r>
    </w:p>
    <w:p>
      <w:pPr>
        <w:pStyle w:val="ListBullet"/>
      </w:pPr>
      <w:r>
        <w:t>We prioritize customer impact, data integrity, and regulatory alignment.</w:t>
      </w:r>
    </w:p>
    <w:p>
      <w:pPr>
        <w:pStyle w:val="ListBullet"/>
      </w:pPr>
      <w:r>
        <w:t>Evidence artifacts are retained in Zoom for at least 24 months.</w:t>
      </w:r>
    </w:p>
    <w:p>
      <w:pPr>
        <w:pStyle w:val="ListBullet"/>
      </w:pPr>
      <w:r>
        <w:t>Systems are monitored via Prometheus and alert routing in Zoom.</w:t>
      </w:r>
    </w:p>
    <w:p>
      <w:pPr>
        <w:pStyle w:val="Heading1"/>
      </w:pPr>
      <w:r>
        <w:t>Configuration</w:t>
      </w:r>
    </w:p>
    <w:p>
      <w:r>
        <w:t>Audit sampling occurs monthly and is summarized in leadership dashboards. Evidence artifacts are retained in Zoom for at least 24 months. All incidents are tagged with severity and mapped to service tiers.</w:t>
      </w:r>
    </w:p>
    <w:p>
      <w:r>
        <w:t>The Finance team coordinates with SRE to maintain operational readiness. Audit sampling occurs monthly and is summarized in leadership dashboards. The Finance team coordinates with SRE to maintain operational readiness.</w:t>
      </w:r>
    </w:p>
    <w:p>
      <w:pPr>
        <w:pStyle w:val="ListBullet"/>
      </w:pPr>
      <w:r>
        <w:t>All incidents are tagged with severity and mapped to service tiers.</w:t>
      </w:r>
    </w:p>
    <w:p>
      <w:pPr>
        <w:pStyle w:val="ListBullet"/>
      </w:pPr>
      <w:r>
        <w:t>Systems are monitored via Prometheus and alert routing in Zoom.</w:t>
      </w:r>
    </w:p>
    <w:p>
      <w:pPr>
        <w:pStyle w:val="ListBullet"/>
      </w:pPr>
      <w:r>
        <w:t>The Finance organization uses Prometheus to enforce consistent service baselines.</w:t>
      </w:r>
    </w:p>
    <w:p>
      <w:pPr>
        <w:pStyle w:val="ListBullet"/>
      </w:pPr>
      <w:r>
        <w:t>Audit sampling occurs monthly and is summarized in leadership dashboards.</w:t>
      </w:r>
    </w:p>
    <w:p>
      <w:pPr>
        <w:pStyle w:val="Heading1"/>
      </w:pPr>
      <w:r>
        <w:t>Troubleshooting</w:t>
      </w:r>
    </w:p>
    <w:p>
      <w:r>
        <w:t>Evidence artifacts are retained in Zoom for at least 24 months. The Finance team coordinates with SRE to maintain operational readiness. All incidents are tagged with severity and mapped to service tiers. We prioritize customer impact, data integrity, and regulatory alignment.</w:t>
      </w:r>
    </w:p>
    <w:p>
      <w:pPr>
        <w:pStyle w:val="ListBullet"/>
      </w:pPr>
      <w:r>
        <w:t>Teams must log requests in Zoom and track outcomes in Document Repository for audit readiness.</w:t>
      </w:r>
    </w:p>
    <w:p>
      <w:pPr>
        <w:pStyle w:val="ListBullet"/>
      </w:pPr>
      <w:r>
        <w:t>The Finance team coordinates with SRE to maintain operational readiness.</w:t>
      </w:r>
    </w:p>
    <w:p>
      <w:pPr>
        <w:pStyle w:val="ListBullet"/>
      </w:pPr>
      <w:r>
        <w:t>This document aligns with GDPR requirements and supports APAC data residency expectations.</w:t>
      </w:r>
    </w:p>
    <w:p>
      <w:pPr>
        <w:pStyle w:val="ListBullet"/>
      </w:pPr>
      <w:r>
        <w:t>Regional teams in APAC follow the same policy with localized legal review.</w:t>
      </w:r>
    </w:p>
    <w:p>
      <w:pPr>
        <w:pStyle w:val="Heading1"/>
      </w:pPr>
      <w:r>
        <w:t>Maintenance</w:t>
      </w:r>
    </w:p>
    <w:p>
      <w:r>
        <w:t>Audit sampling occurs monthly and is summarized in leadership dashboards. Risk acceptance must be documented and revalidated each quarter. The Finance organization uses Prometheus to enforce consistent service baselines. Audit sampling occurs monthly and is summarized in leadership dashboards.</w:t>
      </w:r>
    </w:p>
    <w:p>
      <w:pPr>
        <w:pStyle w:val="ListBullet"/>
      </w:pPr>
      <w:r>
        <w:t>Systems are monitored via Prometheus and alert routing in Zoom.</w:t>
      </w:r>
    </w:p>
    <w:p>
      <w:pPr>
        <w:pStyle w:val="ListBullet"/>
      </w:pPr>
      <w:r>
        <w:t>The Finance organization uses Prometheus to enforce consistent service baselines.</w:t>
      </w:r>
    </w:p>
    <w:p>
      <w:pPr>
        <w:pStyle w:val="ListBullet"/>
      </w:pPr>
      <w:r>
        <w:t>Teams must log requests in Zoom and track outcomes in Document Repository for audit readiness.</w:t>
      </w:r>
    </w:p>
    <w:p>
      <w:pPr>
        <w:pStyle w:val="ListBullet"/>
      </w:pPr>
      <w:r>
        <w:t>All changes require peer review and validation in the Document Repository before production promotion.</w:t>
      </w:r>
    </w:p>
    <w:p>
      <w:pPr>
        <w:pStyle w:val="ListBullet"/>
      </w:pPr>
      <w:r>
        <w:t>This document aligns with GDPR requirements and supports APAC data residency expectations.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