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Finance APAC v1.2</w:t>
      </w:r>
    </w:p>
    <w:p>
      <w:r>
        <w:t>Department: Finance</w:t>
      </w:r>
    </w:p>
    <w:p>
      <w:r>
        <w:t>Author: Jordan Kim</w:t>
      </w:r>
    </w:p>
    <w:p>
      <w:r>
        <w:t>Created date: 2024-10-17</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Regional teams in APAC follow the same policy with localized legal review. The Finance organization uses Datadog to enforce consistent service baselines. Audit sampling occurs monthly and is summarized in leadership dashboards. Risk acceptance must be documented and revalidated each quarter.</w:t>
      </w:r>
    </w:p>
    <w:p>
      <w:pPr>
        <w:pStyle w:val="ListBullet"/>
      </w:pPr>
      <w:r>
        <w:t>Risk acceptance must be documented and revalidated each quarter.</w:t>
      </w:r>
    </w:p>
    <w:p>
      <w:pPr>
        <w:pStyle w:val="ListBullet"/>
      </w:pPr>
      <w:r>
        <w:t>This document aligns with GDPR requirements and supports APAC data residency expectations.</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Escalations should follow the on-call rotation with a response target of 15 minutes.</w:t>
      </w:r>
    </w:p>
    <w:p>
      <w:pPr>
        <w:pStyle w:val="ListBullet"/>
      </w:pPr>
      <w:r>
        <w:t>The Finance organization uses Datadog to enforce consistent service baselines.</w:t>
      </w:r>
    </w:p>
    <w:p>
      <w:pPr>
        <w:pStyle w:val="Heading1"/>
      </w:pPr>
      <w:r>
        <w:t>Installation</w:t>
      </w:r>
    </w:p>
    <w:p>
      <w:r>
        <w:t>Teams must log requests in Salesforce and track outcomes in Document Repository for audit readiness. Systems are monitored via Datadog and alert routing in Salesforce. Regional teams in APAC follow the same policy with localized legal review.</w:t>
      </w:r>
    </w:p>
    <w:p>
      <w:r>
        <w:t>Audit sampling occurs monthly and is summarized in leadership dashboards. The Finance team coordinates with SRE to maintain operational readiness.</w:t>
      </w:r>
    </w:p>
    <w:p>
      <w:pPr>
        <w:pStyle w:val="ListBullet"/>
      </w:pPr>
      <w:r>
        <w:t>This document aligns with GDPR requirements and supports APAC data residency expectations.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ListBullet"/>
      </w:pPr>
      <w:r>
        <w:t>Evidence artifacts are retained in Salesforce for at least 36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Finance</w:t>
            </w:r>
          </w:p>
        </w:tc>
        <w:tc>
          <w:tcPr>
            <w:tcW w:type="dxa" w:w="2880"/>
          </w:tcPr>
          <w:p>
            <w:r>
              <w:t>Planned</w:t>
            </w:r>
          </w:p>
        </w:tc>
      </w:tr>
      <w:tr>
        <w:tc>
          <w:tcPr>
            <w:tcW w:type="dxa" w:w="2880"/>
          </w:tcPr>
          <w:p>
            <w:r>
              <w:t>Vendor check</w:t>
            </w:r>
          </w:p>
        </w:tc>
        <w:tc>
          <w:tcPr>
            <w:tcW w:type="dxa" w:w="2880"/>
          </w:tcPr>
          <w:p>
            <w:r>
              <w:t>Operations</w:t>
            </w:r>
          </w:p>
        </w:tc>
        <w:tc>
          <w:tcPr>
            <w:tcW w:type="dxa" w:w="2880"/>
          </w:tcPr>
          <w:p>
            <w:r>
              <w:t>Blocked</w:t>
            </w:r>
          </w:p>
        </w:tc>
      </w:tr>
      <w:tr>
        <w:tc>
          <w:tcPr>
            <w:tcW w:type="dxa" w:w="2880"/>
          </w:tcPr>
          <w:p>
            <w:r>
              <w:t>Patch window</w:t>
            </w:r>
          </w:p>
        </w:tc>
        <w:tc>
          <w:tcPr>
            <w:tcW w:type="dxa" w:w="2880"/>
          </w:tcPr>
          <w:p>
            <w:r>
              <w:t>Finance</w:t>
            </w:r>
          </w:p>
        </w:tc>
        <w:tc>
          <w:tcPr>
            <w:tcW w:type="dxa" w:w="2880"/>
          </w:tcPr>
          <w:p>
            <w:r>
              <w:t>Blocked</w:t>
            </w:r>
          </w:p>
        </w:tc>
      </w:tr>
      <w:tr>
        <w:tc>
          <w:tcPr>
            <w:tcW w:type="dxa" w:w="2880"/>
          </w:tcPr>
          <w:p>
            <w:r>
              <w:t>Backup validation</w:t>
            </w:r>
          </w:p>
        </w:tc>
        <w:tc>
          <w:tcPr>
            <w:tcW w:type="dxa" w:w="2880"/>
          </w:tcPr>
          <w:p>
            <w:r>
              <w:t>Security</w:t>
            </w:r>
          </w:p>
        </w:tc>
        <w:tc>
          <w:tcPr>
            <w:tcW w:type="dxa" w:w="2880"/>
          </w:tcPr>
          <w:p>
            <w:r>
              <w:t>Blocked</w:t>
            </w:r>
          </w:p>
        </w:tc>
      </w:tr>
    </w:tbl>
    <w:p>
      <w:pPr>
        <w:pStyle w:val="Heading1"/>
      </w:pPr>
      <w:r>
        <w:t>Configuration</w:t>
      </w:r>
    </w:p>
    <w:p>
      <w:r>
        <w:t>The Finance team coordinates with SRE to maintain operational readiness. The Finance organization uses Datadog to enforce consistent service baselines. Systems are monitored via Datadog and alert routing in Salesforce. The Finance team coordinates with SRE to maintain operational readiness.</w:t>
      </w:r>
    </w:p>
    <w:p>
      <w:r>
        <w:t>The Finance organization uses Datadog to enforce consistent service baselines. Escalations should follow the on-call rotation with a response target of 15 minutes. Evidence artifacts are retained in Salesforce for at least 36 months.</w:t>
      </w:r>
    </w:p>
    <w:p>
      <w:pPr>
        <w:pStyle w:val="ListBullet"/>
      </w:pPr>
      <w:r>
        <w:t>The process integrates with Document Repository and depends on Datadog for telemetry signals.</w:t>
      </w:r>
    </w:p>
    <w:p>
      <w:pPr>
        <w:pStyle w:val="ListBullet"/>
      </w:pPr>
      <w:r>
        <w:t>All changes require peer review and validation in the Document Repository before production promotion.</w:t>
      </w:r>
    </w:p>
    <w:p>
      <w:pPr>
        <w:pStyle w:val="ListBullet"/>
      </w:pPr>
      <w:r>
        <w:t>This document aligns with GDPR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Complete</w:t>
            </w:r>
          </w:p>
        </w:tc>
      </w:tr>
      <w:tr>
        <w:tc>
          <w:tcPr>
            <w:tcW w:type="dxa" w:w="2880"/>
          </w:tcPr>
          <w:p>
            <w:r>
              <w:t>Backup validation</w:t>
            </w:r>
          </w:p>
        </w:tc>
        <w:tc>
          <w:tcPr>
            <w:tcW w:type="dxa" w:w="2880"/>
          </w:tcPr>
          <w:p>
            <w:r>
              <w:t>Finance</w:t>
            </w:r>
          </w:p>
        </w:tc>
        <w:tc>
          <w:tcPr>
            <w:tcW w:type="dxa" w:w="2880"/>
          </w:tcPr>
          <w:p>
            <w:r>
              <w:t>Complete</w:t>
            </w:r>
          </w:p>
        </w:tc>
      </w:tr>
      <w:tr>
        <w:tc>
          <w:tcPr>
            <w:tcW w:type="dxa" w:w="2880"/>
          </w:tcPr>
          <w:p>
            <w:r>
              <w:t>Vendor check</w:t>
            </w:r>
          </w:p>
        </w:tc>
        <w:tc>
          <w:tcPr>
            <w:tcW w:type="dxa" w:w="2880"/>
          </w:tcPr>
          <w:p>
            <w:r>
              <w:t>Finance</w:t>
            </w:r>
          </w:p>
        </w:tc>
        <w:tc>
          <w:tcPr>
            <w:tcW w:type="dxa" w:w="2880"/>
          </w:tcPr>
          <w:p>
            <w:r>
              <w:t>Planned</w:t>
            </w:r>
          </w:p>
        </w:tc>
      </w:tr>
      <w:tr>
        <w:tc>
          <w:tcPr>
            <w:tcW w:type="dxa" w:w="2880"/>
          </w:tcPr>
          <w:p>
            <w:r>
              <w:t>Incident drill</w:t>
            </w:r>
          </w:p>
        </w:tc>
        <w:tc>
          <w:tcPr>
            <w:tcW w:type="dxa" w:w="2880"/>
          </w:tcPr>
          <w:p>
            <w:r>
              <w:t>SRE</w:t>
            </w:r>
          </w:p>
        </w:tc>
        <w:tc>
          <w:tcPr>
            <w:tcW w:type="dxa" w:w="2880"/>
          </w:tcPr>
          <w:p>
            <w:r>
              <w:t>In Progress</w:t>
            </w:r>
          </w:p>
        </w:tc>
      </w:tr>
    </w:tbl>
    <w:p>
      <w:pPr>
        <w:pStyle w:val="Heading1"/>
      </w:pPr>
      <w:r>
        <w:t>Troubleshooting</w:t>
      </w:r>
    </w:p>
    <w:p>
      <w:r>
        <w:t>All incidents are tagged with severity and mapped to service tiers. Regional teams in APAC follow the same policy with localized legal review. Risk acceptance must be documented and revalidated each quarter. Evidence artifacts are retained in Salesforce for at least 36 months.</w:t>
      </w:r>
    </w:p>
    <w:p>
      <w:r>
        <w:t>Teams must log requests in Salesforce and track outcomes in Document Repository for audit readiness. Systems are monitored via Datadog and alert routing in Salesforce. Risk acceptance must be documented and revalidated each quarter.</w:t>
      </w:r>
    </w:p>
    <w:p>
      <w:pPr>
        <w:pStyle w:val="ListBullet"/>
      </w:pPr>
      <w:r>
        <w:t>Evidence artifacts are retained in Salesforce for at least 36 months.</w:t>
      </w:r>
    </w:p>
    <w:p>
      <w:pPr>
        <w:pStyle w:val="ListBullet"/>
      </w:pPr>
      <w:r>
        <w:t>Stakeholders include the SRE, service owner, and compliance lead for approvals.</w:t>
      </w:r>
    </w:p>
    <w:p>
      <w:pPr>
        <w:pStyle w:val="ListBullet"/>
      </w:pPr>
      <w:r>
        <w:t>Systems are monitored via Datadog and alert routing in Salesforce.</w:t>
      </w:r>
    </w:p>
    <w:p>
      <w:pPr>
        <w:pStyle w:val="ListBullet"/>
      </w:pPr>
      <w:r>
        <w:t>Regional teams in APAC follow the same policy with localized legal review.</w:t>
      </w:r>
    </w:p>
    <w:p>
      <w:pPr>
        <w:pStyle w:val="Heading1"/>
      </w:pPr>
      <w:r>
        <w:t>Maintenance</w:t>
      </w:r>
    </w:p>
    <w:p>
      <w:r>
        <w:t>All incidents are tagged with severity and mapped to service tiers. Regional teams in APAC follow the same policy with localized legal review.</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Escalations should follow the on-call rotation with a response target of 15 minutes.</w:t>
      </w:r>
    </w:p>
    <w:p>
      <w:pPr>
        <w:pStyle w:val="ListBullet"/>
      </w:pPr>
      <w:r>
        <w:t>The Finance organization uses Datadog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Planned</w:t>
            </w:r>
          </w:p>
        </w:tc>
      </w:tr>
      <w:tr>
        <w:tc>
          <w:tcPr>
            <w:tcW w:type="dxa" w:w="2880"/>
          </w:tcPr>
          <w:p>
            <w:r>
              <w:t>Vendor check</w:t>
            </w:r>
          </w:p>
        </w:tc>
        <w:tc>
          <w:tcPr>
            <w:tcW w:type="dxa" w:w="2880"/>
          </w:tcPr>
          <w:p>
            <w:r>
              <w:t>Operations</w:t>
            </w:r>
          </w:p>
        </w:tc>
        <w:tc>
          <w:tcPr>
            <w:tcW w:type="dxa" w:w="2880"/>
          </w:tcPr>
          <w:p>
            <w:r>
              <w:t>Complete</w:t>
            </w:r>
          </w:p>
        </w:tc>
      </w:tr>
      <w:tr>
        <w:tc>
          <w:tcPr>
            <w:tcW w:type="dxa" w:w="2880"/>
          </w:tcPr>
          <w:p>
            <w:r>
              <w:t>Incident drill</w:t>
            </w:r>
          </w:p>
        </w:tc>
        <w:tc>
          <w:tcPr>
            <w:tcW w:type="dxa" w:w="2880"/>
          </w:tcPr>
          <w:p>
            <w:r>
              <w:t>SRE</w:t>
            </w:r>
          </w:p>
        </w:tc>
        <w:tc>
          <w:tcPr>
            <w:tcW w:type="dxa" w:w="2880"/>
          </w:tcPr>
          <w:p>
            <w:r>
              <w:t>Complete</w:t>
            </w:r>
          </w:p>
        </w:tc>
      </w:tr>
      <w:tr>
        <w:tc>
          <w:tcPr>
            <w:tcW w:type="dxa" w:w="2880"/>
          </w:tcPr>
          <w:p>
            <w:r>
              <w:t>Vendor check</w:t>
            </w:r>
          </w:p>
        </w:tc>
        <w:tc>
          <w:tcPr>
            <w:tcW w:type="dxa" w:w="2880"/>
          </w:tcPr>
          <w:p>
            <w:r>
              <w:t>Operations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