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Finance EU v2.1</w:t>
      </w:r>
    </w:p>
    <w:p>
      <w:r>
        <w:t>Department: Finance</w:t>
      </w:r>
    </w:p>
    <w:p>
      <w:r>
        <w:t>Author: Alex Brown</w:t>
      </w:r>
    </w:p>
    <w:p>
      <w:r>
        <w:t>Created date: 2026-02-11</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All changes require peer review and validation in the Monitoring Stack before production promotion. All incidents are tagged with severity and mapped to service tiers.</w:t>
      </w:r>
    </w:p>
    <w:p>
      <w:r>
        <w:t>Evidence artifacts are retained in Microsoft 365 for at least 12 months. The process integrates with Monitoring Stack and depends on Azure AD for telemetry signals. The process integrates with Monitoring Stack and depends on Azure AD for telemetry signals. The Finance organization uses Azure AD to enforce consistent service baselines.</w:t>
      </w:r>
    </w:p>
    <w:p>
      <w:pPr>
        <w:pStyle w:val="ListBullet"/>
      </w:pPr>
      <w:r>
        <w:t>Evidence artifacts are retained in Microsoft 365 for at least 12 months.</w:t>
      </w:r>
    </w:p>
    <w:p>
      <w:pPr>
        <w:pStyle w:val="ListBullet"/>
      </w:pPr>
      <w:r>
        <w:t>The process integrates with Monitoring Stack and depends on Azure AD for telemetry signals.</w:t>
      </w:r>
    </w:p>
    <w:p>
      <w:pPr>
        <w:pStyle w:val="ListBullet"/>
      </w:pPr>
      <w:r>
        <w:t>Risk acceptance must be documented and revalidated each quarter.</w:t>
      </w:r>
    </w:p>
    <w:p>
      <w:pPr>
        <w:pStyle w:val="Heading1"/>
      </w:pPr>
      <w:r>
        <w:t>Installation</w:t>
      </w:r>
    </w:p>
    <w:p>
      <w:r>
        <w:t>All changes require peer review and validation in the Monitoring Stack before production promotion. Risk acceptance must be documented and revalidated each quarter. The Finance organization uses Azure AD to enforce consistent service baselines. Escalations should follow the on-call rotation with a response target of 15 minutes.</w:t>
      </w:r>
    </w:p>
    <w:p>
      <w:pPr>
        <w:pStyle w:val="ListBullet"/>
      </w:pPr>
      <w:r>
        <w:t>The process integrates with Monitoring Stack and depends on Azure AD for telemetry signals.</w:t>
      </w:r>
    </w:p>
    <w:p>
      <w:pPr>
        <w:pStyle w:val="ListBullet"/>
      </w:pPr>
      <w:r>
        <w:t>Regional teams in EU follow the same policy with localized legal review.</w:t>
      </w:r>
    </w:p>
    <w:p>
      <w:pPr>
        <w:pStyle w:val="ListBullet"/>
      </w:pPr>
      <w:r>
        <w:t>The Finance team coordinates with Security Analyst to maintain operational readiness.</w:t>
      </w:r>
    </w:p>
    <w:p>
      <w:pPr>
        <w:pStyle w:val="ListBullet"/>
      </w:pPr>
      <w:r>
        <w:t>Escalations should follow the on-call rotation with a response target of 15 minutes.</w:t>
      </w:r>
    </w:p>
    <w:p>
      <w:pPr>
        <w:pStyle w:val="Heading1"/>
      </w:pPr>
      <w:r>
        <w:t>Configuration</w:t>
      </w:r>
    </w:p>
    <w:p>
      <w:r>
        <w:t>The process integrates with Monitoring Stack and depends on Azure AD for telemetry signals. Evidence artifacts are retained in Microsoft 365 for at least 12 months.</w:t>
      </w:r>
    </w:p>
    <w:p>
      <w:r>
        <w:t>We prioritize customer impact, data integrity, and regulatory alignment. Regional teams in EU follow the same policy with localized legal review. The process integrates with Monitoring Stack and depends on Azure AD for telemetry signals. Risk acceptance must be documented and revalidated each quarter.</w:t>
      </w:r>
    </w:p>
    <w:p>
      <w:pPr>
        <w:pStyle w:val="ListBullet"/>
      </w:pPr>
      <w:r>
        <w:t>Stakeholders include the Security Analyst, service owner, and compliance lead for approvals.</w:t>
      </w:r>
    </w:p>
    <w:p>
      <w:pPr>
        <w:pStyle w:val="ListBullet"/>
      </w:pPr>
      <w:r>
        <w:t>Regional teams in EU follow the same policy with localized legal review.</w:t>
      </w:r>
    </w:p>
    <w:p>
      <w:pPr>
        <w:pStyle w:val="ListBullet"/>
      </w:pPr>
      <w:r>
        <w:t>Evidence artifacts are retained in Microsoft 365 for at least 12 months.</w:t>
      </w:r>
    </w:p>
    <w:p>
      <w:pPr>
        <w:pStyle w:val="Heading1"/>
      </w:pPr>
      <w:r>
        <w:t>Troubleshooting</w:t>
      </w:r>
    </w:p>
    <w:p>
      <w:r>
        <w:t>The process integrates with Monitoring Stack and depends on Azure AD for telemetry signals. Risk acceptance must be documented and revalidated each quarter. We prioritize customer impact, data integrity, and regulatory alignment.</w:t>
      </w:r>
    </w:p>
    <w:p>
      <w:r>
        <w:t>Evidence artifacts are retained in Microsoft 365 for at least 12 months. Systems are monitored via Azure AD and alert routing in Microsoft 365.</w:t>
      </w:r>
    </w:p>
    <w:p>
      <w:pPr>
        <w:pStyle w:val="ListBullet"/>
      </w:pPr>
      <w:r>
        <w:t>Stakeholders include the Security Analyst, service owner, and compliance lead for approvals.</w:t>
      </w:r>
    </w:p>
    <w:p>
      <w:pPr>
        <w:pStyle w:val="ListBullet"/>
      </w:pPr>
      <w:r>
        <w:t>Teams must log requests in Microsoft 365 and track outcomes in Monitoring Stack for audit readiness.</w:t>
      </w:r>
    </w:p>
    <w:p>
      <w:pPr>
        <w:pStyle w:val="ListBullet"/>
      </w:pPr>
      <w:r>
        <w:t>Regional teams in EU follow the same policy with localized legal review.</w:t>
      </w:r>
    </w:p>
    <w:p>
      <w:pPr>
        <w:pStyle w:val="ListBullet"/>
      </w:pPr>
      <w:r>
        <w:t>Risk acceptance must be documented and revalidated each quarter.</w:t>
      </w:r>
    </w:p>
    <w:p>
      <w:pPr>
        <w:pStyle w:val="Heading1"/>
      </w:pPr>
      <w:r>
        <w:t>Maintenance</w:t>
      </w:r>
    </w:p>
    <w:p>
      <w:r>
        <w:t>Teams must log requests in Microsoft 365 and track outcomes in Monitoring Stack for audit readiness. We prioritize customer impact, data integrity, and regulatory alignment.</w:t>
      </w:r>
    </w:p>
    <w:p>
      <w:r>
        <w:t>The Finance team coordinates with Security Analyst to maintain operational readiness. We prioritize customer impact, data integrity, and regulatory alignment. Audit sampling occurs monthly and is summarized in leadership dashboards.</w:t>
      </w:r>
    </w:p>
    <w:p>
      <w:pPr>
        <w:pStyle w:val="ListBullet"/>
      </w:pPr>
      <w:r>
        <w:t>Stakeholders include the Security Analyst, service owner, and compliance lead for approvals.</w:t>
      </w:r>
    </w:p>
    <w:p>
      <w:pPr>
        <w:pStyle w:val="ListBullet"/>
      </w:pPr>
      <w:r>
        <w:t>The Finance team coordinates with Security Analyst to maintain operational readiness.</w:t>
      </w:r>
    </w:p>
    <w:p>
      <w:pPr>
        <w:pStyle w:val="ListBullet"/>
      </w:pPr>
      <w:r>
        <w:t>All changes require peer review and validation in the Monitoring Stack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