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Human Resources EU v1.2</w:t>
      </w:r>
    </w:p>
    <w:p>
      <w:r>
        <w:t>Department: Human Resources</w:t>
      </w:r>
    </w:p>
    <w:p>
      <w:r>
        <w:t>Author: Alex Garcia</w:t>
      </w:r>
    </w:p>
    <w:p>
      <w:r>
        <w:t>Created date: 2026-04-27</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Stakeholders include the Product Manager, service owner, and compliance lead for approvals. Evidence artifacts are retained in Salesforce for at least 36 months. Audit sampling occurs monthly and is summarized in leadership dashboards.</w:t>
      </w:r>
    </w:p>
    <w:p>
      <w:pPr>
        <w:pStyle w:val="ListBullet"/>
      </w:pPr>
      <w:r>
        <w:t>Evidence artifacts are retained in Salesforce for at least 36 months.</w:t>
      </w:r>
    </w:p>
    <w:p>
      <w:pPr>
        <w:pStyle w:val="ListBullet"/>
      </w:pPr>
      <w:r>
        <w:t>Escalations should follow the on-call rotation with a response target of 30 minutes.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Product Manager</w:t>
            </w:r>
          </w:p>
        </w:tc>
        <w:tc>
          <w:tcPr>
            <w:tcW w:type="dxa" w:w="2880"/>
          </w:tcPr>
          <w:p>
            <w:r>
              <w:t>Complete</w:t>
            </w:r>
          </w:p>
        </w:tc>
      </w:tr>
      <w:tr>
        <w:tc>
          <w:tcPr>
            <w:tcW w:type="dxa" w:w="2880"/>
          </w:tcPr>
          <w:p>
            <w:r>
              <w:t>Vendor check</w:t>
            </w:r>
          </w:p>
        </w:tc>
        <w:tc>
          <w:tcPr>
            <w:tcW w:type="dxa" w:w="2880"/>
          </w:tcPr>
          <w:p>
            <w:r>
              <w:t>Operations</w:t>
            </w:r>
          </w:p>
        </w:tc>
        <w:tc>
          <w:tcPr>
            <w:tcW w:type="dxa" w:w="2880"/>
          </w:tcPr>
          <w:p>
            <w:r>
              <w:t>Complete</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Patch window</w:t>
            </w:r>
          </w:p>
        </w:tc>
        <w:tc>
          <w:tcPr>
            <w:tcW w:type="dxa" w:w="2880"/>
          </w:tcPr>
          <w:p>
            <w:r>
              <w:t>Security</w:t>
            </w:r>
          </w:p>
        </w:tc>
        <w:tc>
          <w:tcPr>
            <w:tcW w:type="dxa" w:w="2880"/>
          </w:tcPr>
          <w:p>
            <w:r>
              <w:t>In Progress</w:t>
            </w:r>
          </w:p>
        </w:tc>
      </w:tr>
    </w:tbl>
    <w:p>
      <w:pPr>
        <w:pStyle w:val="Heading1"/>
      </w:pPr>
      <w:r>
        <w:t>Installation</w:t>
      </w:r>
    </w:p>
    <w:p>
      <w:r>
        <w:t>The Human Resources organization uses Azure AD to enforce consistent service baselines. We prioritize customer impact, data integrity, and regulatory alignment.</w:t>
      </w:r>
    </w:p>
    <w:p>
      <w:pPr>
        <w:pStyle w:val="ListBullet"/>
      </w:pPr>
      <w:r>
        <w:t>Escalations should follow the on-call rotation with a response target of 30 minutes.</w:t>
      </w:r>
    </w:p>
    <w:p>
      <w:pPr>
        <w:pStyle w:val="ListBullet"/>
      </w:pPr>
      <w:r>
        <w:t>The process integrates with Payment Processing Service and depends on Azure AD for telemetry signals.</w:t>
      </w:r>
    </w:p>
    <w:p>
      <w:pPr>
        <w:pStyle w:val="ListBullet"/>
      </w:pPr>
      <w:r>
        <w:t>Audit sampling occurs monthly and is summarized in leadership dashboards.</w:t>
      </w:r>
    </w:p>
    <w:p>
      <w:pPr>
        <w:pStyle w:val="ListBullet"/>
      </w:pPr>
      <w:r>
        <w:t>Systems are monitored via Azure AD and alert routing in Salesforce.</w:t>
      </w:r>
    </w:p>
    <w:p>
      <w:pPr>
        <w:pStyle w:val="ListBullet"/>
      </w:pPr>
      <w:r>
        <w:t>The process integrates with Payment Processing Service and depends on Azure AD for telemetry signals.</w:t>
      </w:r>
    </w:p>
    <w:p>
      <w:pPr>
        <w:pStyle w:val="ListBullet"/>
      </w:pPr>
      <w:r>
        <w:t>The Human Resources team coordinates with Product Manager to maintain operational readiness.</w:t>
      </w:r>
    </w:p>
    <w:p>
      <w:pPr>
        <w:pStyle w:val="Heading1"/>
      </w:pPr>
      <w:r>
        <w:t>Configuration</w:t>
      </w:r>
    </w:p>
    <w:p>
      <w:r>
        <w:t>Stakeholders include the Product Manager, service owner, and compliance lead for approvals. Systems are monitored via Azure AD and alert routing in Salesforce.</w:t>
      </w:r>
    </w:p>
    <w:p>
      <w:r>
        <w:t>Risk acceptance must be documented and revalidated each quarter. Evidence artifacts are retained in Salesforce for at least 36 months. Risk acceptance must be documented and revalidated each quarter.</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All changes require peer review and validation in the Payment Processing Service before production promotion.</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Human Resources</w:t>
            </w:r>
          </w:p>
        </w:tc>
        <w:tc>
          <w:tcPr>
            <w:tcW w:type="dxa" w:w="2880"/>
          </w:tcPr>
          <w:p>
            <w:r>
              <w:t>Planned</w:t>
            </w:r>
          </w:p>
        </w:tc>
      </w:tr>
      <w:tr>
        <w:tc>
          <w:tcPr>
            <w:tcW w:type="dxa" w:w="2880"/>
          </w:tcPr>
          <w:p>
            <w:r>
              <w:t>Incident drill</w:t>
            </w:r>
          </w:p>
        </w:tc>
        <w:tc>
          <w:tcPr>
            <w:tcW w:type="dxa" w:w="2880"/>
          </w:tcPr>
          <w:p>
            <w:r>
              <w:t>Human Resources</w:t>
            </w:r>
          </w:p>
        </w:tc>
        <w:tc>
          <w:tcPr>
            <w:tcW w:type="dxa" w:w="2880"/>
          </w:tcPr>
          <w:p>
            <w:r>
              <w:t>Complete</w:t>
            </w:r>
          </w:p>
        </w:tc>
      </w:tr>
      <w:tr>
        <w:tc>
          <w:tcPr>
            <w:tcW w:type="dxa" w:w="2880"/>
          </w:tcPr>
          <w:p>
            <w:r>
              <w:t>Access review</w:t>
            </w:r>
          </w:p>
        </w:tc>
        <w:tc>
          <w:tcPr>
            <w:tcW w:type="dxa" w:w="2880"/>
          </w:tcPr>
          <w:p>
            <w:r>
              <w:t>Human Resources</w:t>
            </w:r>
          </w:p>
        </w:tc>
        <w:tc>
          <w:tcPr>
            <w:tcW w:type="dxa" w:w="2880"/>
          </w:tcPr>
          <w:p>
            <w:r>
              <w:t>Blocked</w:t>
            </w:r>
          </w:p>
        </w:tc>
      </w:tr>
    </w:tbl>
    <w:p>
      <w:pPr>
        <w:pStyle w:val="Heading1"/>
      </w:pPr>
      <w:r>
        <w:t>Troubleshooting</w:t>
      </w:r>
    </w:p>
    <w:p>
      <w:r>
        <w:t>All changes require peer review and validation in the Payment Processing Service before production promotion. We prioritize customer impact, data integrity, and regulatory alignment. Escalations should follow the on-call rotation with a response target of 30 minutes.</w:t>
      </w:r>
    </w:p>
    <w:p>
      <w:r>
        <w:t>We prioritize customer impact, data integrity, and regulatory alignment. Regional teams in EU follow the same policy with localized legal review. The Human Resources team coordinates with Product Manager to maintain operational readiness. All incidents are tagged with severity and mapped to service tiers.</w:t>
      </w:r>
    </w:p>
    <w:p>
      <w:pPr>
        <w:pStyle w:val="ListBullet"/>
      </w:pPr>
      <w:r>
        <w:t>The process integrates with Payment Processing Service and depends on Azure AD for telemetry signals.</w:t>
      </w:r>
    </w:p>
    <w:p>
      <w:pPr>
        <w:pStyle w:val="ListBullet"/>
      </w:pPr>
      <w:r>
        <w:t>All changes require peer review and validation in the Payment Processing Service before production promotion.</w:t>
      </w:r>
    </w:p>
    <w:p>
      <w:pPr>
        <w:pStyle w:val="ListBullet"/>
      </w:pPr>
      <w:r>
        <w:t>Risk acceptance must be documented and revalidated each quarter.</w:t>
      </w:r>
    </w:p>
    <w:p>
      <w:pPr>
        <w:pStyle w:val="Heading1"/>
      </w:pPr>
      <w:r>
        <w:t>Maintenance</w:t>
      </w:r>
    </w:p>
    <w:p>
      <w:r>
        <w:t>We prioritize customer impact, data integrity, and regulatory alignment. We prioritize customer impact, data integrity, and regulatory alignment. We prioritize customer impact, data integrity, and regulatory alignment. Audit sampling occurs monthly and is summarized in leadership dashboards.</w:t>
      </w:r>
    </w:p>
    <w:p>
      <w:r>
        <w:t>All incidents are tagged with severity and mapped to service tiers. The process integrates with Payment Processing Service and depends on Azure AD for telemetry signals.</w:t>
      </w:r>
    </w:p>
    <w:p>
      <w:pPr>
        <w:pStyle w:val="ListBullet"/>
      </w:pPr>
      <w:r>
        <w:t>Systems are monitored via Azure AD and alert routing in Salesforce.</w:t>
      </w:r>
    </w:p>
    <w:p>
      <w:pPr>
        <w:pStyle w:val="ListBullet"/>
      </w:pPr>
      <w:r>
        <w:t>The Human Resources team coordinates with Product Manager to maintain operational readiness.</w:t>
      </w:r>
    </w:p>
    <w:p>
      <w:pPr>
        <w:pStyle w:val="ListBullet"/>
      </w:pPr>
      <w:r>
        <w:t>The Human Resources team coordinates with Product Manager to maintain operational readiness.</w:t>
      </w:r>
    </w:p>
    <w:p>
      <w:pPr>
        <w:pStyle w:val="ListBullet"/>
      </w:pPr>
      <w:r>
        <w:t>Risk acceptance must be documented and revalidated each quarter.</w:t>
      </w:r>
    </w:p>
    <w:p>
      <w:pPr>
        <w:pStyle w:val="ListBullet"/>
      </w:pPr>
      <w:r>
        <w:t>The process integrates with Payment Processing Service and depends on Azure AD for telemetry signals.</w:t>
      </w:r>
    </w:p>
    <w:p>
      <w:pPr>
        <w:pStyle w:val="ListBullet"/>
      </w:pPr>
      <w:r>
        <w:t>Escalations should follow the on-call rotation with a response target of 30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