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Manuals - Information Technology EU v1.2</w:t>
      </w:r>
    </w:p>
    <w:p>
      <w:r>
        <w:t>Department: Information Technology</w:t>
      </w:r>
    </w:p>
    <w:p>
      <w:r>
        <w:t>Author: Morgan Garcia</w:t>
      </w:r>
    </w:p>
    <w:p>
      <w:r>
        <w:t>Created date: 2024-12-12</w:t>
      </w:r>
    </w:p>
    <w:p>
      <w:r>
        <w:t>Region: EU</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Product Overview</w:t>
      </w:r>
    </w:p>
    <w:p>
      <w:r>
        <w:t>We prioritize customer impact, data integrity, and regulatory alignment. The Information Technology team coordinates with Procurement Lead to maintain operational readiness. The Information Technology team coordinates with Procurement Lead to maintain operational readiness.</w:t>
      </w:r>
    </w:p>
    <w:p>
      <w:r>
        <w:t>The process integrates with Document Repository and depends on Kafka for telemetry signals. All incidents are tagged with severity and mapped to service tiers. Stakeholders include the Procurement Lead, service owner, and compliance lead for approvals. Risk acceptance must be documented and revalidated each quarter.</w:t>
      </w:r>
    </w:p>
    <w:p>
      <w:pPr>
        <w:pStyle w:val="ListBullet"/>
      </w:pPr>
      <w:r>
        <w:t>Evidence artifacts are retained in GitHub Enterprise for at least 36 months.</w:t>
      </w:r>
    </w:p>
    <w:p>
      <w:pPr>
        <w:pStyle w:val="ListBullet"/>
      </w:pPr>
      <w:r>
        <w:t>Evidence artifacts are retained in GitHub Enterprise for at least 36 months.</w:t>
      </w:r>
    </w:p>
    <w:p>
      <w:pPr>
        <w:pStyle w:val="ListBullet"/>
      </w:pPr>
      <w:r>
        <w:t>The Information Technology team coordinates with Procurement Lead to maintain operational readiness.</w:t>
      </w:r>
    </w:p>
    <w:p>
      <w:pPr>
        <w:pStyle w:val="ListBullet"/>
      </w:pPr>
      <w:r>
        <w:t>Stakeholders include the Procurement Lead, service owner, and compliance lead for approvals.</w:t>
      </w:r>
    </w:p>
    <w:p>
      <w:pPr>
        <w:pStyle w:val="ListBullet"/>
      </w:pPr>
      <w:r>
        <w:t>Audit sampling occurs monthly and is summarized in leadership dashboards.</w:t>
      </w:r>
    </w:p>
    <w:p>
      <w:pPr>
        <w:pStyle w:val="ListBullet"/>
      </w:pPr>
      <w:r>
        <w:t>The process integrates with Document Repository and depends on Kafka for telemetry signals.</w:t>
      </w:r>
    </w:p>
    <w:p>
      <w:pPr>
        <w:pStyle w:val="Heading1"/>
      </w:pPr>
      <w:r>
        <w:t>Installation</w:t>
      </w:r>
    </w:p>
    <w:p>
      <w:r>
        <w:t>Escalations should follow the on-call rotation with a response target of 30 minutes. Risk acceptance must be documented and revalidated each quarter. Escalations should follow the on-call rotation with a response target of 30 minutes.</w:t>
      </w:r>
    </w:p>
    <w:p>
      <w:r>
        <w:t>Audit sampling occurs monthly and is summarized in leadership dashboards. Teams must log requests in GitHub Enterprise and track outcomes in Document Repository for audit readiness.</w:t>
      </w:r>
    </w:p>
    <w:p>
      <w:pPr>
        <w:pStyle w:val="ListBullet"/>
      </w:pPr>
      <w:r>
        <w:t>Systems are monitored via Kafka and alert routing in GitHub Enterprise.</w:t>
      </w:r>
    </w:p>
    <w:p>
      <w:pPr>
        <w:pStyle w:val="ListBullet"/>
      </w:pPr>
      <w:r>
        <w:t>We prioritize customer impact, data integrity, and regulatory alignment.</w:t>
      </w:r>
    </w:p>
    <w:p>
      <w:pPr>
        <w:pStyle w:val="ListBullet"/>
      </w:pPr>
      <w:r>
        <w:t>The process integrates with Document Repository and depends on Kafka for telemetry signals.</w:t>
      </w:r>
    </w:p>
    <w:p>
      <w:pPr>
        <w:pStyle w:val="Heading1"/>
      </w:pPr>
      <w:r>
        <w:t>Configuration</w:t>
      </w:r>
    </w:p>
    <w:p>
      <w:r>
        <w:t>The process integrates with Document Repository and depends on Kafka for telemetry signals. Systems are monitored via Kafka and alert routing in GitHub Enterprise.</w:t>
      </w:r>
    </w:p>
    <w:p>
      <w:pPr>
        <w:pStyle w:val="ListBullet"/>
      </w:pPr>
      <w:r>
        <w:t>Teams must log requests in GitHub Enterprise and track outcomes in Document Repository for audit readiness.</w:t>
      </w:r>
    </w:p>
    <w:p>
      <w:pPr>
        <w:pStyle w:val="ListBullet"/>
      </w:pPr>
      <w:r>
        <w:t>The Information Technology team coordinates with Procurement Lead to maintain operational readiness.</w:t>
      </w:r>
    </w:p>
    <w:p>
      <w:pPr>
        <w:pStyle w:val="ListBullet"/>
      </w:pPr>
      <w:r>
        <w:t>Regional teams in EU follow the same policy with localized legal review.</w:t>
      </w:r>
    </w:p>
    <w:p>
      <w:pPr>
        <w:pStyle w:val="ListBullet"/>
      </w:pPr>
      <w:r>
        <w:t>This document aligns with GDPR requirements and supports EU data residency expectations.</w:t>
      </w:r>
    </w:p>
    <w:p>
      <w:pPr>
        <w:pStyle w:val="ListBullet"/>
      </w:pPr>
      <w:r>
        <w:t>Risk acceptance must be documented and revalidated each quarter.</w:t>
      </w:r>
    </w:p>
    <w:p>
      <w:pPr>
        <w:pStyle w:val="ListBullet"/>
      </w:pPr>
      <w:r>
        <w:t>Risk acceptance must be documented and revalidated each quarter.</w:t>
      </w:r>
    </w:p>
    <w:p>
      <w:pPr>
        <w:pStyle w:val="Heading1"/>
      </w:pPr>
      <w:r>
        <w:t>Troubleshooting</w:t>
      </w:r>
    </w:p>
    <w:p>
      <w:r>
        <w:t>The Information Technology organization uses Kafka to enforce consistent service baselines. Escalations should follow the on-call rotation with a response target of 30 minutes. Evidence artifacts are retained in GitHub Enterprise for at least 36 months.</w:t>
      </w:r>
    </w:p>
    <w:p>
      <w:r>
        <w:t>All incidents are tagged with severity and mapped to service tiers. Regional teams in EU follow the same policy with localized legal review.</w:t>
      </w:r>
    </w:p>
    <w:p>
      <w:pPr>
        <w:pStyle w:val="ListBullet"/>
      </w:pPr>
      <w:r>
        <w:t>Stakeholders include the Procurement Lead, service owner, and compliance lead for approvals.</w:t>
      </w:r>
    </w:p>
    <w:p>
      <w:pPr>
        <w:pStyle w:val="ListBullet"/>
      </w:pPr>
      <w:r>
        <w:t>Regional teams in EU follow the same policy with localized legal review.</w:t>
      </w:r>
    </w:p>
    <w:p>
      <w:pPr>
        <w:pStyle w:val="ListBullet"/>
      </w:pPr>
      <w:r>
        <w:t>This document aligns with GDPR requirements and supports EU data residency expectations.</w:t>
      </w:r>
    </w:p>
    <w:p>
      <w:pPr>
        <w:pStyle w:val="ListBullet"/>
      </w:pPr>
      <w:r>
        <w:t>Teams must log requests in GitHub Enterprise and track outcomes in Document Repository for audit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Operations</w:t>
            </w:r>
          </w:p>
        </w:tc>
        <w:tc>
          <w:tcPr>
            <w:tcW w:type="dxa" w:w="2880"/>
          </w:tcPr>
          <w:p>
            <w:r>
              <w:t>Planned</w:t>
            </w:r>
          </w:p>
        </w:tc>
      </w:tr>
      <w:tr>
        <w:tc>
          <w:tcPr>
            <w:tcW w:type="dxa" w:w="2880"/>
          </w:tcPr>
          <w:p>
            <w:r>
              <w:t>Incident drill</w:t>
            </w:r>
          </w:p>
        </w:tc>
        <w:tc>
          <w:tcPr>
            <w:tcW w:type="dxa" w:w="2880"/>
          </w:tcPr>
          <w:p>
            <w:r>
              <w:t>Information Technology</w:t>
            </w:r>
          </w:p>
        </w:tc>
        <w:tc>
          <w:tcPr>
            <w:tcW w:type="dxa" w:w="2880"/>
          </w:tcPr>
          <w:p>
            <w:r>
              <w:t>In Progress</w:t>
            </w:r>
          </w:p>
        </w:tc>
      </w:tr>
      <w:tr>
        <w:tc>
          <w:tcPr>
            <w:tcW w:type="dxa" w:w="2880"/>
          </w:tcPr>
          <w:p>
            <w:r>
              <w:t>Access review</w:t>
            </w:r>
          </w:p>
        </w:tc>
        <w:tc>
          <w:tcPr>
            <w:tcW w:type="dxa" w:w="2880"/>
          </w:tcPr>
          <w:p>
            <w:r>
              <w:t>Procurement Lead</w:t>
            </w:r>
          </w:p>
        </w:tc>
        <w:tc>
          <w:tcPr>
            <w:tcW w:type="dxa" w:w="2880"/>
          </w:tcPr>
          <w:p>
            <w:r>
              <w:t>In Progress</w:t>
            </w:r>
          </w:p>
        </w:tc>
      </w:tr>
      <w:tr>
        <w:tc>
          <w:tcPr>
            <w:tcW w:type="dxa" w:w="2880"/>
          </w:tcPr>
          <w:p>
            <w:r>
              <w:t>Patch window</w:t>
            </w:r>
          </w:p>
        </w:tc>
        <w:tc>
          <w:tcPr>
            <w:tcW w:type="dxa" w:w="2880"/>
          </w:tcPr>
          <w:p>
            <w:r>
              <w:t>Security</w:t>
            </w:r>
          </w:p>
        </w:tc>
        <w:tc>
          <w:tcPr>
            <w:tcW w:type="dxa" w:w="2880"/>
          </w:tcPr>
          <w:p>
            <w:r>
              <w:t>Complete</w:t>
            </w:r>
          </w:p>
        </w:tc>
      </w:tr>
    </w:tbl>
    <w:p>
      <w:pPr>
        <w:pStyle w:val="Heading1"/>
      </w:pPr>
      <w:r>
        <w:t>Maintenance</w:t>
      </w:r>
    </w:p>
    <w:p>
      <w:r>
        <w:t>Teams must log requests in GitHub Enterprise and track outcomes in Document Repository for audit readiness. Escalations should follow the on-call rotation with a response target of 30 minutes. The Information Technology team coordinates with Procurement Lead to maintain operational readiness. Escalations should follow the on-call rotation with a response target of 30 minutes.</w:t>
      </w:r>
    </w:p>
    <w:p>
      <w:r>
        <w:t>Stakeholders include the Procurement Lead, service owner, and compliance lead for approvals. The Information Technology team coordinates with Procurement Lead to maintain operational readiness. Evidence artifacts are retained in GitHub Enterprise for at least 36 months.</w:t>
      </w:r>
    </w:p>
    <w:p>
      <w:pPr>
        <w:pStyle w:val="ListBullet"/>
      </w:pPr>
      <w:r>
        <w:t>The Information Technology organization uses Kafka to enforce consistent service baselines.</w:t>
      </w:r>
    </w:p>
    <w:p>
      <w:pPr>
        <w:pStyle w:val="ListBullet"/>
      </w:pPr>
      <w:r>
        <w:t>All changes require peer review and validation in the Document Repository before production promotion.</w:t>
      </w:r>
    </w:p>
    <w:p>
      <w:pPr>
        <w:pStyle w:val="ListBullet"/>
      </w:pPr>
      <w:r>
        <w:t>All changes require peer review and validation in the Document Repository before production promotion.</w:t>
      </w:r>
    </w:p>
    <w:p>
      <w:pPr>
        <w:pStyle w:val="ListBullet"/>
      </w:pPr>
      <w:r>
        <w:t>Risk acceptance must be documented and revalidated each quarter.</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Security</w:t>
            </w:r>
          </w:p>
        </w:tc>
        <w:tc>
          <w:tcPr>
            <w:tcW w:type="dxa" w:w="2880"/>
          </w:tcPr>
          <w:p>
            <w:r>
              <w:t>Blocked</w:t>
            </w:r>
          </w:p>
        </w:tc>
      </w:tr>
      <w:tr>
        <w:tc>
          <w:tcPr>
            <w:tcW w:type="dxa" w:w="2880"/>
          </w:tcPr>
          <w:p>
            <w:r>
              <w:t>Vendor check</w:t>
            </w:r>
          </w:p>
        </w:tc>
        <w:tc>
          <w:tcPr>
            <w:tcW w:type="dxa" w:w="2880"/>
          </w:tcPr>
          <w:p>
            <w:r>
              <w:t>Operations</w:t>
            </w:r>
          </w:p>
        </w:tc>
        <w:tc>
          <w:tcPr>
            <w:tcW w:type="dxa" w:w="2880"/>
          </w:tcPr>
          <w:p>
            <w:r>
              <w:t>Planned</w:t>
            </w:r>
          </w:p>
        </w:tc>
      </w:tr>
      <w:tr>
        <w:tc>
          <w:tcPr>
            <w:tcW w:type="dxa" w:w="2880"/>
          </w:tcPr>
          <w:p>
            <w:r>
              <w:t>Access review</w:t>
            </w:r>
          </w:p>
        </w:tc>
        <w:tc>
          <w:tcPr>
            <w:tcW w:type="dxa" w:w="2880"/>
          </w:tcPr>
          <w:p>
            <w:r>
              <w:t>Procurement Lead</w:t>
            </w:r>
          </w:p>
        </w:tc>
        <w:tc>
          <w:tcPr>
            <w:tcW w:type="dxa" w:w="2880"/>
          </w:tcPr>
          <w:p>
            <w:r>
              <w:t>Complete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