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Manuals - Legal EU v1.0</w:t>
      </w:r>
    </w:p>
    <w:p>
      <w:r>
        <w:t>Department: Legal</w:t>
      </w:r>
    </w:p>
    <w:p>
      <w:r>
        <w:t>Author: Jordan Garcia</w:t>
      </w:r>
    </w:p>
    <w:p>
      <w:r>
        <w:t>Created date: 2024-01-29</w:t>
      </w:r>
    </w:p>
    <w:p>
      <w:r>
        <w:t>Region: EU</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Product Overview</w:t>
      </w:r>
    </w:p>
    <w:p>
      <w:r>
        <w:t>Escalations should follow the on-call rotation with a response target of 60 minutes. The Legal organization uses AWS to enforce consistent service baselines.</w:t>
      </w:r>
    </w:p>
    <w:p>
      <w:r>
        <w:t>All changes require peer review and validation in the Document Repository before production promotion. Risk acceptance must be documented and revalidated each quarter. The Legal organization uses AWS to enforce consistent service baselines.</w:t>
      </w:r>
    </w:p>
    <w:p>
      <w:pPr>
        <w:pStyle w:val="ListBullet"/>
      </w:pPr>
      <w:r>
        <w:t>The process integrates with Document Repository and depends on AWS for telemetry signals.</w:t>
      </w:r>
    </w:p>
    <w:p>
      <w:pPr>
        <w:pStyle w:val="ListBullet"/>
      </w:pPr>
      <w:r>
        <w:t>The Legal organization uses AWS to enforce consistent service baselines.</w:t>
      </w:r>
    </w:p>
    <w:p>
      <w:pPr>
        <w:pStyle w:val="ListBullet"/>
      </w:pPr>
      <w:r>
        <w:t>Evidence artifacts are retained in Slack for at least 18 months.</w:t>
      </w:r>
    </w:p>
    <w:p>
      <w:pPr>
        <w:pStyle w:val="ListBullet"/>
      </w:pPr>
      <w:r>
        <w:t>Escalations should follow the on-call rotation with a response target of 60 minutes.</w:t>
      </w:r>
    </w:p>
    <w:p>
      <w:pPr>
        <w:pStyle w:val="ListBullet"/>
      </w:pPr>
      <w:r>
        <w:t>Teams must log requests in Slack and track outcomes in Document Repository for audit readiness.</w:t>
      </w:r>
    </w:p>
    <w:p>
      <w:pPr>
        <w:pStyle w:val="ListBullet"/>
      </w:pPr>
      <w:r>
        <w:t>Escalations should follow the on-call rotation with a response target of 60 minutes.</w:t>
      </w:r>
    </w:p>
    <w:p>
      <w:pPr>
        <w:pStyle w:val="Heading1"/>
      </w:pPr>
      <w:r>
        <w:t>Installation</w:t>
      </w:r>
    </w:p>
    <w:p>
      <w:r>
        <w:t>Systems are monitored via AWS and alert routing in Slack. Audit sampling occurs monthly and is summarized in leadership dashboards.</w:t>
      </w:r>
    </w:p>
    <w:p>
      <w:pPr>
        <w:pStyle w:val="ListBullet"/>
      </w:pPr>
      <w:r>
        <w:t>Risk acceptance must be documented and revalidated each quarter.</w:t>
      </w:r>
    </w:p>
    <w:p>
      <w:pPr>
        <w:pStyle w:val="ListBullet"/>
      </w:pPr>
      <w:r>
        <w:t>Escalations should follow the on-call rotation with a response target of 60 minutes.</w:t>
      </w:r>
    </w:p>
    <w:p>
      <w:pPr>
        <w:pStyle w:val="ListBullet"/>
      </w:pPr>
      <w:r>
        <w:t>The process integrates with Document Repository and depends on AWS for telemetry signals.</w:t>
      </w:r>
    </w:p>
    <w:p>
      <w:pPr>
        <w:pStyle w:val="ListBullet"/>
      </w:pPr>
      <w:r>
        <w:t>Audit sampling occurs monthly and is summarized in leadership dashboards.</w:t>
      </w:r>
    </w:p>
    <w:p>
      <w:pPr>
        <w:pStyle w:val="ListBullet"/>
      </w:pPr>
      <w:r>
        <w:t>The process integrates with Document Repository and depends on AWS for telemetry signals.</w:t>
      </w:r>
    </w:p>
    <w:p>
      <w:pPr>
        <w:pStyle w:val="ListBullet"/>
      </w:pPr>
      <w:r>
        <w:t>The Legal organization uses AWS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Legal</w:t>
            </w:r>
          </w:p>
        </w:tc>
        <w:tc>
          <w:tcPr>
            <w:tcW w:type="dxa" w:w="2880"/>
          </w:tcPr>
          <w:p>
            <w:r>
              <w:t>Planned</w:t>
            </w:r>
          </w:p>
        </w:tc>
      </w:tr>
      <w:tr>
        <w:tc>
          <w:tcPr>
            <w:tcW w:type="dxa" w:w="2880"/>
          </w:tcPr>
          <w:p>
            <w:r>
              <w:t>Backup validation</w:t>
            </w:r>
          </w:p>
        </w:tc>
        <w:tc>
          <w:tcPr>
            <w:tcW w:type="dxa" w:w="2880"/>
          </w:tcPr>
          <w:p>
            <w:r>
              <w:t>Support Specialist</w:t>
            </w:r>
          </w:p>
        </w:tc>
        <w:tc>
          <w:tcPr>
            <w:tcW w:type="dxa" w:w="2880"/>
          </w:tcPr>
          <w:p>
            <w:r>
              <w:t>Complete</w:t>
            </w:r>
          </w:p>
        </w:tc>
      </w:tr>
      <w:tr>
        <w:tc>
          <w:tcPr>
            <w:tcW w:type="dxa" w:w="2880"/>
          </w:tcPr>
          <w:p>
            <w:r>
              <w:t>Access review</w:t>
            </w:r>
          </w:p>
        </w:tc>
        <w:tc>
          <w:tcPr>
            <w:tcW w:type="dxa" w:w="2880"/>
          </w:tcPr>
          <w:p>
            <w:r>
              <w:t>Operations</w:t>
            </w:r>
          </w:p>
        </w:tc>
        <w:tc>
          <w:tcPr>
            <w:tcW w:type="dxa" w:w="2880"/>
          </w:tcPr>
          <w:p>
            <w:r>
              <w:t>Complete</w:t>
            </w:r>
          </w:p>
        </w:tc>
      </w:tr>
      <w:tr>
        <w:tc>
          <w:tcPr>
            <w:tcW w:type="dxa" w:w="2880"/>
          </w:tcPr>
          <w:p>
            <w:r>
              <w:t>Patch window</w:t>
            </w:r>
          </w:p>
        </w:tc>
        <w:tc>
          <w:tcPr>
            <w:tcW w:type="dxa" w:w="2880"/>
          </w:tcPr>
          <w:p>
            <w:r>
              <w:t>Security</w:t>
            </w:r>
          </w:p>
        </w:tc>
        <w:tc>
          <w:tcPr>
            <w:tcW w:type="dxa" w:w="2880"/>
          </w:tcPr>
          <w:p>
            <w:r>
              <w:t>Blocked</w:t>
            </w:r>
          </w:p>
        </w:tc>
      </w:tr>
    </w:tbl>
    <w:p>
      <w:pPr>
        <w:pStyle w:val="Heading1"/>
      </w:pPr>
      <w:r>
        <w:t>Configuration</w:t>
      </w:r>
    </w:p>
    <w:p>
      <w:r>
        <w:t>Escalations should follow the on-call rotation with a response target of 60 minutes. All incidents are tagged with severity and mapped to service tiers.</w:t>
      </w:r>
    </w:p>
    <w:p>
      <w:pPr>
        <w:pStyle w:val="ListBullet"/>
      </w:pPr>
      <w:r>
        <w:t>All incidents are tagged with severity and mapped to service tiers.</w:t>
      </w:r>
    </w:p>
    <w:p>
      <w:pPr>
        <w:pStyle w:val="ListBullet"/>
      </w:pPr>
      <w:r>
        <w:t>Regional teams in EU follow the same policy with localized legal review.</w:t>
      </w:r>
    </w:p>
    <w:p>
      <w:pPr>
        <w:pStyle w:val="ListBullet"/>
      </w:pPr>
      <w:r>
        <w:t>The Legal organization uses AWS to enforce consistent service baselines.</w:t>
      </w:r>
    </w:p>
    <w:p>
      <w:pPr>
        <w:pStyle w:val="ListBullet"/>
      </w:pPr>
      <w:r>
        <w:t>We prioritize customer impact, data integrity, and regulatory alignment.</w:t>
      </w:r>
    </w:p>
    <w:p>
      <w:pPr>
        <w:pStyle w:val="ListBullet"/>
      </w:pPr>
      <w:r>
        <w:t>All changes require peer review and validation in the Document Repository before production promotion.</w:t>
      </w:r>
    </w:p>
    <w:p>
      <w:pPr>
        <w:pStyle w:val="ListBullet"/>
      </w:pPr>
      <w:r>
        <w:t>The Legal team coordinates with Support Specialist to maintain operational readiness.</w:t>
      </w:r>
    </w:p>
    <w:p>
      <w:pPr>
        <w:pStyle w:val="Heading1"/>
      </w:pPr>
      <w:r>
        <w:t>Troubleshooting</w:t>
      </w:r>
    </w:p>
    <w:p>
      <w:r>
        <w:t>The process integrates with Document Repository and depends on AWS for telemetry signals. The process integrates with Document Repository and depends on AWS for telemetry signals.</w:t>
      </w:r>
    </w:p>
    <w:p>
      <w:r>
        <w:t>Evidence artifacts are retained in Slack for at least 18 months. Risk acceptance must be documented and revalidated each quarter. Stakeholders include the Support Specialist, service owner, and compliance lead for approvals. Escalations should follow the on-call rotation with a response target of 60 minutes.</w:t>
      </w:r>
    </w:p>
    <w:p>
      <w:pPr>
        <w:pStyle w:val="ListBullet"/>
      </w:pPr>
      <w:r>
        <w:t>Regional teams in EU follow the same policy with localized legal review.</w:t>
      </w:r>
    </w:p>
    <w:p>
      <w:pPr>
        <w:pStyle w:val="ListBullet"/>
      </w:pPr>
      <w:r>
        <w:t>All incidents are tagged with severity and mapped to service tiers.</w:t>
      </w:r>
    </w:p>
    <w:p>
      <w:pPr>
        <w:pStyle w:val="ListBullet"/>
      </w:pPr>
      <w:r>
        <w:t>The Legal team coordinates with Support Specialist to maintain operational readiness.</w:t>
      </w:r>
    </w:p>
    <w:p>
      <w:pPr>
        <w:pStyle w:val="ListBullet"/>
      </w:pPr>
      <w:r>
        <w:t>Risk acceptance must be documented and revalidated each quarter.</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Legal</w:t>
            </w:r>
          </w:p>
        </w:tc>
        <w:tc>
          <w:tcPr>
            <w:tcW w:type="dxa" w:w="2880"/>
          </w:tcPr>
          <w:p>
            <w:r>
              <w:t>Blocked</w:t>
            </w:r>
          </w:p>
        </w:tc>
      </w:tr>
      <w:tr>
        <w:tc>
          <w:tcPr>
            <w:tcW w:type="dxa" w:w="2880"/>
          </w:tcPr>
          <w:p>
            <w:r>
              <w:t>Backup validation</w:t>
            </w:r>
          </w:p>
        </w:tc>
        <w:tc>
          <w:tcPr>
            <w:tcW w:type="dxa" w:w="2880"/>
          </w:tcPr>
          <w:p>
            <w:r>
              <w:t>Legal</w:t>
            </w:r>
          </w:p>
        </w:tc>
        <w:tc>
          <w:tcPr>
            <w:tcW w:type="dxa" w:w="2880"/>
          </w:tcPr>
          <w:p>
            <w:r>
              <w:t>In Progress</w:t>
            </w:r>
          </w:p>
        </w:tc>
      </w:tr>
      <w:tr>
        <w:tc>
          <w:tcPr>
            <w:tcW w:type="dxa" w:w="2880"/>
          </w:tcPr>
          <w:p>
            <w:r>
              <w:t>Access review</w:t>
            </w:r>
          </w:p>
        </w:tc>
        <w:tc>
          <w:tcPr>
            <w:tcW w:type="dxa" w:w="2880"/>
          </w:tcPr>
          <w:p>
            <w:r>
              <w:t>Support Specialist</w:t>
            </w:r>
          </w:p>
        </w:tc>
        <w:tc>
          <w:tcPr>
            <w:tcW w:type="dxa" w:w="2880"/>
          </w:tcPr>
          <w:p>
            <w:r>
              <w:t>Blocked</w:t>
            </w:r>
          </w:p>
        </w:tc>
      </w:tr>
      <w:tr>
        <w:tc>
          <w:tcPr>
            <w:tcW w:type="dxa" w:w="2880"/>
          </w:tcPr>
          <w:p>
            <w:r>
              <w:t>Vendor check</w:t>
            </w:r>
          </w:p>
        </w:tc>
        <w:tc>
          <w:tcPr>
            <w:tcW w:type="dxa" w:w="2880"/>
          </w:tcPr>
          <w:p>
            <w:r>
              <w:t>Operations</w:t>
            </w:r>
          </w:p>
        </w:tc>
        <w:tc>
          <w:tcPr>
            <w:tcW w:type="dxa" w:w="2880"/>
          </w:tcPr>
          <w:p>
            <w:r>
              <w:t>Blocked</w:t>
            </w:r>
          </w:p>
        </w:tc>
      </w:tr>
    </w:tbl>
    <w:p>
      <w:pPr>
        <w:pStyle w:val="Heading1"/>
      </w:pPr>
      <w:r>
        <w:t>Maintenance</w:t>
      </w:r>
    </w:p>
    <w:p>
      <w:r>
        <w:t>The process integrates with Document Repository and depends on AWS for telemetry signals. The process integrates with Document Repository and depends on AWS for telemetry signals.</w:t>
      </w:r>
    </w:p>
    <w:p>
      <w:r>
        <w:t>Audit sampling occurs monthly and is summarized in leadership dashboards. Stakeholders include the Support Specialist, service owner, and compliance lead for approvals.</w:t>
      </w:r>
    </w:p>
    <w:p>
      <w:pPr>
        <w:pStyle w:val="ListBullet"/>
      </w:pPr>
      <w:r>
        <w:t>Audit sampling occurs monthly and is summarized in leadership dashboards.</w:t>
      </w:r>
    </w:p>
    <w:p>
      <w:pPr>
        <w:pStyle w:val="ListBullet"/>
      </w:pPr>
      <w:r>
        <w:t>Systems are monitored via AWS and alert routing in Slack.</w:t>
      </w:r>
    </w:p>
    <w:p>
      <w:pPr>
        <w:pStyle w:val="ListBullet"/>
      </w:pPr>
      <w:r>
        <w:t>Audit sampling occurs monthly and is summarized in leadership dashboards.</w:t>
      </w:r>
    </w:p>
    <w:p>
      <w:pPr>
        <w:pStyle w:val="ListBullet"/>
      </w:pPr>
      <w:r>
        <w:t>Escalations should follow the on-call rotation with a response target of 60 minutes.</w:t>
      </w:r>
    </w:p>
    <w:p>
      <w:pPr>
        <w:pStyle w:val="ListBullet"/>
      </w:pPr>
      <w:r>
        <w:t>All incidents are tagged with severity and mapped to service tiers.</w:t>
      </w:r>
    </w:p>
    <w:p>
      <w:pPr>
        <w:pStyle w:val="ListBullet"/>
      </w:pPr>
      <w:r>
        <w:t>Evidence artifacts are retained in Slack for at least 18 months.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Operations</w:t>
            </w:r>
          </w:p>
        </w:tc>
        <w:tc>
          <w:tcPr>
            <w:tcW w:type="dxa" w:w="2880"/>
          </w:tcPr>
          <w:p>
            <w:r>
              <w:t>Complete</w:t>
            </w:r>
          </w:p>
        </w:tc>
      </w:tr>
      <w:tr>
        <w:tc>
          <w:tcPr>
            <w:tcW w:type="dxa" w:w="2880"/>
          </w:tcPr>
          <w:p>
            <w:r>
              <w:t>Patch window</w:t>
            </w:r>
          </w:p>
        </w:tc>
        <w:tc>
          <w:tcPr>
            <w:tcW w:type="dxa" w:w="2880"/>
          </w:tcPr>
          <w:p>
            <w:r>
              <w:t>Legal</w:t>
            </w:r>
          </w:p>
        </w:tc>
        <w:tc>
          <w:tcPr>
            <w:tcW w:type="dxa" w:w="2880"/>
          </w:tcPr>
          <w:p>
            <w:r>
              <w:t>In Progress</w:t>
            </w:r>
          </w:p>
        </w:tc>
      </w:tr>
      <w:tr>
        <w:tc>
          <w:tcPr>
            <w:tcW w:type="dxa" w:w="2880"/>
          </w:tcPr>
          <w:p>
            <w:r>
              <w:t>Backup validation</w:t>
            </w:r>
          </w:p>
        </w:tc>
        <w:tc>
          <w:tcPr>
            <w:tcW w:type="dxa" w:w="2880"/>
          </w:tcPr>
          <w:p>
            <w:r>
              <w:t>Legal</w:t>
            </w:r>
          </w:p>
        </w:tc>
        <w:tc>
          <w:tcPr>
            <w:tcW w:type="dxa" w:w="2880"/>
          </w:tcPr>
          <w:p>
            <w:r>
              <w:t>Planned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