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Legal EU v2.1</w:t>
      </w:r>
    </w:p>
    <w:p>
      <w:r>
        <w:t>Department: Legal</w:t>
      </w:r>
    </w:p>
    <w:p>
      <w:r>
        <w:t>Author: Avery Kim</w:t>
      </w:r>
    </w:p>
    <w:p>
      <w:r>
        <w:t>Created date: 2024-08-12</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The process integrates with Document Repository and depends on Snowflake for telemetry signals. This document aligns with HIPAA requirements and supports EU data residency expectations.</w:t>
      </w:r>
    </w:p>
    <w:p>
      <w:r>
        <w:t>Evidence artifacts are retained in SAP for at least 12 months. We prioritize customer impact, data integrity, and regulatory alignment.</w:t>
      </w:r>
    </w:p>
    <w:p>
      <w:pPr>
        <w:pStyle w:val="ListBullet"/>
      </w:pPr>
      <w:r>
        <w:t>Teams must log requests in SAP and track outcomes in Document Repository for audit readiness.</w:t>
      </w:r>
    </w:p>
    <w:p>
      <w:pPr>
        <w:pStyle w:val="ListBullet"/>
      </w:pPr>
      <w:r>
        <w:t>Systems are monitored via Snowflake and alert routing in SAP.</w:t>
      </w:r>
    </w:p>
    <w:p>
      <w:pPr>
        <w:pStyle w:val="ListBullet"/>
      </w:pPr>
      <w:r>
        <w:t>The Legal team coordinates with Security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Backup validation</w:t>
            </w:r>
          </w:p>
        </w:tc>
        <w:tc>
          <w:tcPr>
            <w:tcW w:type="dxa" w:w="2880"/>
          </w:tcPr>
          <w:p>
            <w:r>
              <w:t>Legal</w:t>
            </w:r>
          </w:p>
        </w:tc>
        <w:tc>
          <w:tcPr>
            <w:tcW w:type="dxa" w:w="2880"/>
          </w:tcPr>
          <w:p>
            <w:r>
              <w:t>Planned</w:t>
            </w:r>
          </w:p>
        </w:tc>
      </w:tr>
    </w:tbl>
    <w:p>
      <w:pPr>
        <w:pStyle w:val="Heading1"/>
      </w:pPr>
      <w:r>
        <w:t>Installation</w:t>
      </w:r>
    </w:p>
    <w:p>
      <w:r>
        <w:t>The Legal team coordinates with Security Analyst to maintain operational readiness. Teams must log requests in SAP and track outcomes in Document Repository for audit readiness. This document aligns with HIPAA requirements and supports EU data residency expectations.</w:t>
      </w:r>
    </w:p>
    <w:p>
      <w:r>
        <w:t>The Legal team coordinates with Security Analyst to maintain operational readiness. Teams must log requests in SAP and track outcomes in Document Repository for audit readiness. We prioritize customer impact, data integrity, and regulatory alignment. All changes require peer review and validation in the Document Repository before production promotion.</w:t>
      </w:r>
    </w:p>
    <w:p>
      <w:pPr>
        <w:pStyle w:val="ListBullet"/>
      </w:pPr>
      <w:r>
        <w:t>The Legal organization uses Snowflake to enforce consistent service baselines.</w:t>
      </w:r>
    </w:p>
    <w:p>
      <w:pPr>
        <w:pStyle w:val="ListBullet"/>
      </w:pPr>
      <w:r>
        <w:t>Audit sampling occurs monthly and is summarized in leadership dashboards.</w:t>
      </w:r>
    </w:p>
    <w:p>
      <w:pPr>
        <w:pStyle w:val="ListBullet"/>
      </w:pPr>
      <w:r>
        <w:t>The Legal organization uses Snowflake to enforce consistent service baselines.</w:t>
      </w:r>
    </w:p>
    <w:p>
      <w:pPr>
        <w:pStyle w:val="ListBullet"/>
      </w:pPr>
      <w:r>
        <w:t>The Legal organization uses Snowflake to enforce consistent service baselines.</w:t>
      </w:r>
    </w:p>
    <w:p>
      <w:pPr>
        <w:pStyle w:val="ListBullet"/>
      </w:pPr>
      <w:r>
        <w:t>Evidence artifacts are retained in SAP for at least 12 months.</w:t>
      </w:r>
    </w:p>
    <w:p>
      <w:pPr>
        <w:pStyle w:val="ListBullet"/>
      </w:pPr>
      <w:r>
        <w:t>Risk acceptance must be documented and revalidated each quarter.</w:t>
      </w:r>
    </w:p>
    <w:p>
      <w:pPr>
        <w:pStyle w:val="Heading1"/>
      </w:pPr>
      <w:r>
        <w:t>Configuration</w:t>
      </w:r>
    </w:p>
    <w:p>
      <w:r>
        <w:t>The Legal organization uses Snowflake to enforce consistent service baselines. Systems are monitored via Snowflake and alert routing in SAP. The Legal team coordinates with Security Analyst to maintain operational readiness. The Legal team coordinates with Security Analyst to maintain operational readiness.</w:t>
      </w:r>
    </w:p>
    <w:p>
      <w:r>
        <w:t>Escalations should follow the on-call rotation with a response target of 15 minutes. All incidents are tagged with severity and mapped to service tiers.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Evidence artifacts are retained in SAP for at least 12 months.</w:t>
      </w:r>
    </w:p>
    <w:p>
      <w:pPr>
        <w:pStyle w:val="ListBullet"/>
      </w:pPr>
      <w:r>
        <w:t>The Legal organization uses Snowflake to enforce consistent service baselines.</w:t>
      </w:r>
    </w:p>
    <w:p>
      <w:pPr>
        <w:pStyle w:val="ListBullet"/>
      </w:pPr>
      <w:r>
        <w:t>Audit sampling occurs monthly and is summarized in leadership dashboards.</w:t>
      </w:r>
    </w:p>
    <w:p>
      <w:pPr>
        <w:pStyle w:val="Heading1"/>
      </w:pPr>
      <w:r>
        <w:t>Troubleshooting</w:t>
      </w:r>
    </w:p>
    <w:p>
      <w:r>
        <w:t>The process integrates with Document Repository and depends on Snowflake for telemetry signals. Audit sampling occurs monthly and is summarized in leadership dashboards.</w:t>
      </w:r>
    </w:p>
    <w:p>
      <w:r>
        <w:t>The process integrates with Document Repository and depends on Snowflake for telemetry signals. We prioritize customer impact, data integrity, and regulatory alignment. The process integrates with Document Repository and depends on Snowflake for telemetry signals. The process integrates with Document Repository and depends on Snowflake for telemetry signals.</w:t>
      </w:r>
    </w:p>
    <w:p>
      <w:pPr>
        <w:pStyle w:val="ListBullet"/>
      </w:pPr>
      <w:r>
        <w:t>All changes require peer review and validation in the Document Repository before production promotion.</w:t>
      </w:r>
    </w:p>
    <w:p>
      <w:pPr>
        <w:pStyle w:val="ListBullet"/>
      </w:pPr>
      <w:r>
        <w:t>Regional teams in EU follow the same policy with localized legal review.</w:t>
      </w:r>
    </w:p>
    <w:p>
      <w:pPr>
        <w:pStyle w:val="ListBullet"/>
      </w:pPr>
      <w:r>
        <w:t>Risk acceptance must be documented and revalidated each quarter.</w:t>
      </w:r>
    </w:p>
    <w:p>
      <w:pPr>
        <w:pStyle w:val="ListBullet"/>
      </w:pPr>
      <w:r>
        <w:t>Evidence artifacts are retained in SAP for at least 12 months.</w:t>
      </w:r>
    </w:p>
    <w:p>
      <w:pPr>
        <w:pStyle w:val="ListBullet"/>
      </w:pPr>
      <w:r>
        <w:t>Escalations should follow the on-call rotation with a response target of 15 minutes.</w:t>
      </w:r>
    </w:p>
    <w:p>
      <w:pPr>
        <w:pStyle w:val="ListBullet"/>
      </w:pPr>
      <w:r>
        <w:t>Risk acceptance must be documented and revalidated each quarter.</w:t>
      </w:r>
    </w:p>
    <w:p>
      <w:pPr>
        <w:pStyle w:val="Heading1"/>
      </w:pPr>
      <w:r>
        <w:t>Maintenance</w:t>
      </w:r>
    </w:p>
    <w:p>
      <w:r>
        <w:t>This document aligns with HIPAA requirements and supports EU data residency expectations. Risk acceptance must be documented and revalidated each quarter. All incidents are tagged with severity and mapped to service tiers. Stakeholders include the Security Analyst, service owner, and compliance lead for approvals.</w:t>
      </w:r>
    </w:p>
    <w:p>
      <w:r>
        <w:t>All incidents are tagged with severity and mapped to service tiers. The Legal organization uses Snowflake to enforce consistent service baselines.</w:t>
      </w:r>
    </w:p>
    <w:p>
      <w:pPr>
        <w:pStyle w:val="ListBullet"/>
      </w:pPr>
      <w:r>
        <w:t>The process integrates with Document Repository and depends on Snowflake for telemetry signals.</w:t>
      </w:r>
    </w:p>
    <w:p>
      <w:pPr>
        <w:pStyle w:val="ListBullet"/>
      </w:pPr>
      <w:r>
        <w:t>Teams must log requests in SAP and track outcomes in Document Repository for audit readiness.</w:t>
      </w:r>
    </w:p>
    <w:p>
      <w:pPr>
        <w:pStyle w:val="ListBullet"/>
      </w:pPr>
      <w:r>
        <w:t>All changes require peer review and validation in the Document Repository before production promotion.</w:t>
      </w:r>
    </w:p>
    <w:p>
      <w:pPr>
        <w:pStyle w:val="ListBullet"/>
      </w:pPr>
      <w:r>
        <w:t>Risk acceptance must be documented and revalidated each quarter.</w:t>
      </w:r>
    </w:p>
    <w:p>
      <w:pPr>
        <w:pStyle w:val="ListBullet"/>
      </w:pPr>
      <w:r>
        <w:t>All changes require peer review and validation in the Document Repository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Incident drill</w:t>
            </w:r>
          </w:p>
        </w:tc>
        <w:tc>
          <w:tcPr>
            <w:tcW w:type="dxa" w:w="2880"/>
          </w:tcPr>
          <w:p>
            <w:r>
              <w:t>Security Analyst</w:t>
            </w:r>
          </w:p>
        </w:tc>
        <w:tc>
          <w:tcPr>
            <w:tcW w:type="dxa" w:w="2880"/>
          </w:tcPr>
          <w:p>
            <w:r>
              <w:t>Complete</w:t>
            </w:r>
          </w:p>
        </w:tc>
      </w:tr>
      <w:tr>
        <w:tc>
          <w:tcPr>
            <w:tcW w:type="dxa" w:w="2880"/>
          </w:tcPr>
          <w:p>
            <w:r>
              <w:t>Access review</w:t>
            </w:r>
          </w:p>
        </w:tc>
        <w:tc>
          <w:tcPr>
            <w:tcW w:type="dxa" w:w="2880"/>
          </w:tcPr>
          <w:p>
            <w:r>
              <w:t>Operations</w:t>
            </w:r>
          </w:p>
        </w:tc>
        <w:tc>
          <w:tcPr>
            <w:tcW w:type="dxa" w:w="2880"/>
          </w:tcPr>
          <w:p>
            <w:r>
              <w:t>Blocked</w:t>
            </w:r>
          </w:p>
        </w:tc>
      </w:tr>
      <w:tr>
        <w:tc>
          <w:tcPr>
            <w:tcW w:type="dxa" w:w="2880"/>
          </w:tcPr>
          <w:p>
            <w:r>
              <w:t>Backup validation</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