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Product EU v2.1</w:t>
      </w:r>
    </w:p>
    <w:p>
      <w:r>
        <w:t>Department: Product</w:t>
      </w:r>
    </w:p>
    <w:p>
      <w:r>
        <w:t>Author: Morgan Nguyen</w:t>
      </w:r>
    </w:p>
    <w:p>
      <w:r>
        <w:t>Created date: 2025-09-11</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Regional teams in EU follow the same policy with localized legal review. The Product team coordinates with SRE to maintain operational readiness. All changes require peer review and validation in the CRM Platform before production promotion.</w:t>
      </w:r>
    </w:p>
    <w:p>
      <w:r>
        <w:t>All changes require peer review and validation in the CRM Platform before production promotion. Risk acceptance must be documented and revalidated each quarter.</w:t>
      </w:r>
    </w:p>
    <w:p>
      <w:pPr>
        <w:pStyle w:val="ListBullet"/>
      </w:pPr>
      <w:r>
        <w:t>The Product team coordinates with SRE to maintain operational readiness.</w:t>
      </w:r>
    </w:p>
    <w:p>
      <w:pPr>
        <w:pStyle w:val="ListBullet"/>
      </w:pPr>
      <w:r>
        <w:t>Audit sampling occurs monthly and is summarized in leadership dashboards.</w:t>
      </w:r>
    </w:p>
    <w:p>
      <w:pPr>
        <w:pStyle w:val="ListBullet"/>
      </w:pPr>
      <w:r>
        <w:t>All changes require peer review and validation in the CRM Platform before production promotion.</w:t>
      </w:r>
    </w:p>
    <w:p>
      <w:pPr>
        <w:pStyle w:val="ListBullet"/>
      </w:pPr>
      <w:r>
        <w:t>This document aligns with HIPAA requirements and supports EU data residency expectations.</w:t>
      </w:r>
    </w:p>
    <w:p>
      <w:pPr>
        <w:pStyle w:val="ListBullet"/>
      </w:pPr>
      <w:r>
        <w:t>All changes require peer review and validation in the CRM Platform before production promotion.</w:t>
      </w:r>
    </w:p>
    <w:p>
      <w:pPr>
        <w:pStyle w:val="ListBullet"/>
      </w:pPr>
      <w:r>
        <w:t>The process integrates with CRM Platform and depends on Azure for telemetry signals.</w:t>
      </w:r>
    </w:p>
    <w:p>
      <w:pPr>
        <w:pStyle w:val="Heading1"/>
      </w:pPr>
      <w:r>
        <w:t>Installation</w:t>
      </w:r>
    </w:p>
    <w:p>
      <w:r>
        <w:t>Regional teams in EU follow the same policy with localized legal review. Systems are monitored via Azure and alert routing in Slack. All changes require peer review and validation in the CRM Platform before production promotion. All incidents are tagged with severity and mapped to service tiers.</w:t>
      </w:r>
    </w:p>
    <w:p>
      <w:r>
        <w:t>Escalations should follow the on-call rotation with a response target of 45 minutes. Teams must log requests in Slack and track outcomes in CRM Platform for audit readiness. This document aligns with HIPAA requirements and supports EU data residency expectations. Systems are monitored via Azure and alert routing in Slack.</w:t>
      </w:r>
    </w:p>
    <w:p>
      <w:pPr>
        <w:pStyle w:val="ListBullet"/>
      </w:pPr>
      <w:r>
        <w:t>All incidents are tagged with severity and mapped to service tiers.</w:t>
      </w:r>
    </w:p>
    <w:p>
      <w:pPr>
        <w:pStyle w:val="ListBullet"/>
      </w:pPr>
      <w:r>
        <w:t>Evidence artifacts are retained in Slack for at least 24 months.</w:t>
      </w:r>
    </w:p>
    <w:p>
      <w:pPr>
        <w:pStyle w:val="ListBullet"/>
      </w:pPr>
      <w:r>
        <w:t>Stakeholders include the SRE, service owner, and compliance lead for approvals.</w:t>
      </w:r>
    </w:p>
    <w:p>
      <w:pPr>
        <w:pStyle w:val="Heading1"/>
      </w:pPr>
      <w:r>
        <w:t>Configuration</w:t>
      </w:r>
    </w:p>
    <w:p>
      <w:r>
        <w:t>Regional teams in EU follow the same policy with localized legal review. Systems are monitored via Azure and alert routing in Slack. Regional teams in EU follow the same policy with localized legal review. All changes require peer review and validation in the CRM Platform before production promotion.</w:t>
      </w:r>
    </w:p>
    <w:p>
      <w:r>
        <w:t>The Product organization uses Azure to enforce consistent service baselines. Risk acceptance must be documented and revalidated each quarter.</w:t>
      </w:r>
    </w:p>
    <w:p>
      <w:pPr>
        <w:pStyle w:val="ListBullet"/>
      </w:pPr>
      <w:r>
        <w:t>Teams must log requests in Slack and track outcomes in CRM Platform for audit readiness.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Evidence artifacts are retained in Slack for at least 24 months.</w:t>
      </w:r>
    </w:p>
    <w:p>
      <w:pPr>
        <w:pStyle w:val="ListBullet"/>
      </w:pPr>
      <w:r>
        <w:t>All incidents are tagged with severity and mapped to service tiers.</w:t>
      </w:r>
    </w:p>
    <w:p>
      <w:pPr>
        <w:pStyle w:val="Heading1"/>
      </w:pPr>
      <w:r>
        <w:t>Troubleshooting</w:t>
      </w:r>
    </w:p>
    <w:p>
      <w:r>
        <w:t>All incidents are tagged with severity and mapped to service tiers. The Product organization uses Azure to enforce consistent service baselines. Escalations should follow the on-call rotation with a response target of 45 minutes.</w:t>
      </w:r>
    </w:p>
    <w:p>
      <w:r>
        <w:t>Systems are monitored via Azure and alert routing in Slack. Risk acceptance must be documented and revalidated each quarter. This document aligns with HIPAA requirements and supports EU data residency expectations. Teams must log requests in Slack and track outcomes in CRM Platform for audit readiness.</w:t>
      </w:r>
    </w:p>
    <w:p>
      <w:pPr>
        <w:pStyle w:val="ListBullet"/>
      </w:pPr>
      <w:r>
        <w:t>Regional teams in EU follow the same policy with localized legal review.</w:t>
      </w:r>
    </w:p>
    <w:p>
      <w:pPr>
        <w:pStyle w:val="ListBullet"/>
      </w:pPr>
      <w:r>
        <w:t>Audit sampling occurs monthly and is summarized in leadership dashboards.</w:t>
      </w:r>
    </w:p>
    <w:p>
      <w:pPr>
        <w:pStyle w:val="ListBullet"/>
      </w:pPr>
      <w:r>
        <w:t>Regional teams in EU follow the same policy with localized legal review.</w:t>
      </w:r>
    </w:p>
    <w:p>
      <w:pPr>
        <w:pStyle w:val="ListBullet"/>
      </w:pPr>
      <w:r>
        <w:t>Regional teams in EU follow the same policy with localized legal review.</w:t>
      </w:r>
    </w:p>
    <w:p>
      <w:pPr>
        <w:pStyle w:val="ListBullet"/>
      </w:pPr>
      <w:r>
        <w:t>The Product organization uses Azure to enforce consistent service baselines.</w:t>
      </w:r>
    </w:p>
    <w:p>
      <w:pPr>
        <w:pStyle w:val="ListBullet"/>
      </w:pPr>
      <w:r>
        <w:t>Teams must log requests in Slack and track outcomes in CRM Platform for audit readiness.</w:t>
      </w:r>
    </w:p>
    <w:p>
      <w:pPr>
        <w:pStyle w:val="Heading1"/>
      </w:pPr>
      <w:r>
        <w:t>Maintenance</w:t>
      </w:r>
    </w:p>
    <w:p>
      <w:r>
        <w:t>Teams must log requests in Slack and track outcomes in CRM Platform for audit readiness. Regional teams in EU follow the same policy with localized legal review. Evidence artifacts are retained in Slack for at least 24 months. Stakeholders include the SRE, service owner, and compliance lead for approvals.</w:t>
      </w:r>
    </w:p>
    <w:p>
      <w:r>
        <w:t>Risk acceptance must be documented and revalidated each quarter. Systems are monitored via Azure and alert routing in Slack.</w:t>
      </w:r>
    </w:p>
    <w:p>
      <w:pPr>
        <w:pStyle w:val="ListBullet"/>
      </w:pPr>
      <w:r>
        <w:t>Escalations should follow the on-call rotation with a response target of 45 minutes.</w:t>
      </w:r>
    </w:p>
    <w:p>
      <w:pPr>
        <w:pStyle w:val="ListBullet"/>
      </w:pPr>
      <w:r>
        <w:t>Risk acceptance must be documented and revalidated each quarter.</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Vendor check</w:t>
            </w:r>
          </w:p>
        </w:tc>
        <w:tc>
          <w:tcPr>
            <w:tcW w:type="dxa" w:w="2880"/>
          </w:tcPr>
          <w:p>
            <w:r>
              <w:t>SRE</w:t>
            </w:r>
          </w:p>
        </w:tc>
        <w:tc>
          <w:tcPr>
            <w:tcW w:type="dxa" w:w="2880"/>
          </w:tcPr>
          <w:p>
            <w:r>
              <w:t>Planned</w:t>
            </w:r>
          </w:p>
        </w:tc>
      </w:tr>
      <w:tr>
        <w:tc>
          <w:tcPr>
            <w:tcW w:type="dxa" w:w="2880"/>
          </w:tcPr>
          <w:p>
            <w:r>
              <w:t>Backup validation</w:t>
            </w:r>
          </w:p>
        </w:tc>
        <w:tc>
          <w:tcPr>
            <w:tcW w:type="dxa" w:w="2880"/>
          </w:tcPr>
          <w:p>
            <w:r>
              <w:t>Operations</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