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Security US v3.0</w:t>
      </w:r>
    </w:p>
    <w:p>
      <w:r>
        <w:t>Department: Security</w:t>
      </w:r>
    </w:p>
    <w:p>
      <w:r>
        <w:t>Author: Morgan Brown</w:t>
      </w:r>
    </w:p>
    <w:p>
      <w:r>
        <w:t>Created date: 2026-03-10</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Teams must log requests in Salesforce and track outcomes in ERP System for audit readiness. All incidents are tagged with severity and mapped to service tiers.</w:t>
      </w:r>
    </w:p>
    <w:p>
      <w:r>
        <w:t>This document aligns with SOX requirements and supports US data residency expectations. Regional teams in US follow the same policy with localized legal review. Audit sampling occurs monthly and is summarized in leadership dashboards. This document aligns with SOX requirements and supports US data residency expectations.</w:t>
      </w:r>
    </w:p>
    <w:p>
      <w:pPr>
        <w:pStyle w:val="ListBullet"/>
      </w:pPr>
      <w:r>
        <w:t>Evidence artifacts are retained in Salesforce for at least 18 months.</w:t>
      </w:r>
    </w:p>
    <w:p>
      <w:pPr>
        <w:pStyle w:val="ListBullet"/>
      </w:pPr>
      <w:r>
        <w:t>The Security team coordinates with Finance Analyst to maintain operational readiness.</w:t>
      </w:r>
    </w:p>
    <w:p>
      <w:pPr>
        <w:pStyle w:val="ListBullet"/>
      </w:pPr>
      <w:r>
        <w:t>Systems are monitored via Prometheus and alert routing in Salesforce.</w:t>
      </w:r>
    </w:p>
    <w:p>
      <w:pPr>
        <w:pStyle w:val="Heading1"/>
      </w:pPr>
      <w:r>
        <w:t>Installation</w:t>
      </w:r>
    </w:p>
    <w:p>
      <w:r>
        <w:t>This document aligns with SOX requirements and supports US data residency expectations. We prioritize customer impact, data integrity, and regulatory alignment. Teams must log requests in Salesforce and track outcomes in ERP System for audit readiness. The Security team coordinates with Finance Analyst to maintain operational readiness.</w:t>
      </w:r>
    </w:p>
    <w:p>
      <w:pPr>
        <w:pStyle w:val="ListBullet"/>
      </w:pPr>
      <w:r>
        <w:t>Evidence artifacts are retained in Salesforce for at least 18 months.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Security organization uses Prometheus to enforce consistent service baselines.</w:t>
      </w:r>
    </w:p>
    <w:p>
      <w:pPr>
        <w:pStyle w:val="ListBullet"/>
      </w:pPr>
      <w:r>
        <w:t>Escalations should follow the on-call rotation with a response target of 30 minutes.</w:t>
      </w:r>
    </w:p>
    <w:p>
      <w:pPr>
        <w:pStyle w:val="ListBullet"/>
      </w:pPr>
      <w:r>
        <w:t>The Security team coordinates with Finance Analyst to maintain operational readiness.</w:t>
      </w:r>
    </w:p>
    <w:p>
      <w:pPr>
        <w:pStyle w:val="Heading1"/>
      </w:pPr>
      <w:r>
        <w:t>Configuration</w:t>
      </w:r>
    </w:p>
    <w:p>
      <w:r>
        <w:t>Regional teams in US follow the same policy with localized legal review. All incidents are tagged with severity and mapped to service tiers. The Security organization uses Prometheus to enforce consistent service baselines.</w:t>
      </w:r>
    </w:p>
    <w:p>
      <w:r>
        <w:t>The process integrates with ERP System and depends on Prometheus for telemetry signals. We prioritize customer impact, data integrity, and regulatory alignment.</w:t>
      </w:r>
    </w:p>
    <w:p>
      <w:pPr>
        <w:pStyle w:val="ListBullet"/>
      </w:pPr>
      <w:r>
        <w:t>Regional teams in US follow the same policy with localized legal review.</w:t>
      </w:r>
    </w:p>
    <w:p>
      <w:pPr>
        <w:pStyle w:val="ListBullet"/>
      </w:pPr>
      <w:r>
        <w:t>Evidence artifacts are retained in Salesforce for at least 18 months.</w:t>
      </w:r>
    </w:p>
    <w:p>
      <w:pPr>
        <w:pStyle w:val="ListBullet"/>
      </w:pPr>
      <w:r>
        <w:t>Teams must log requests in Salesforce and track outcomes in ERP System for audit readiness.</w:t>
      </w:r>
    </w:p>
    <w:p>
      <w:pPr>
        <w:pStyle w:val="ListBullet"/>
      </w:pPr>
      <w:r>
        <w:t>Audit sampling occurs monthly and is summarized in leadership dashboards.</w:t>
      </w:r>
    </w:p>
    <w:p>
      <w:pPr>
        <w:pStyle w:val="ListBullet"/>
      </w:pPr>
      <w:r>
        <w:t>The Security organization uses Prometheus to enforce consistent service baselines.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Vendor check</w:t>
            </w:r>
          </w:p>
        </w:tc>
        <w:tc>
          <w:tcPr>
            <w:tcW w:type="dxa" w:w="2880"/>
          </w:tcPr>
          <w:p>
            <w:r>
              <w:t>Finance Analyst</w:t>
            </w:r>
          </w:p>
        </w:tc>
        <w:tc>
          <w:tcPr>
            <w:tcW w:type="dxa" w:w="2880"/>
          </w:tcPr>
          <w:p>
            <w:r>
              <w:t>Blocked</w:t>
            </w:r>
          </w:p>
        </w:tc>
      </w:tr>
      <w:tr>
        <w:tc>
          <w:tcPr>
            <w:tcW w:type="dxa" w:w="2880"/>
          </w:tcPr>
          <w:p>
            <w:r>
              <w:t>Access review</w:t>
            </w:r>
          </w:p>
        </w:tc>
        <w:tc>
          <w:tcPr>
            <w:tcW w:type="dxa" w:w="2880"/>
          </w:tcPr>
          <w:p>
            <w:r>
              <w:t>Finance Analyst</w:t>
            </w:r>
          </w:p>
        </w:tc>
        <w:tc>
          <w:tcPr>
            <w:tcW w:type="dxa" w:w="2880"/>
          </w:tcPr>
          <w:p>
            <w:r>
              <w:t>In Progress</w:t>
            </w:r>
          </w:p>
        </w:tc>
      </w:tr>
    </w:tbl>
    <w:p>
      <w:pPr>
        <w:pStyle w:val="Heading1"/>
      </w:pPr>
      <w:r>
        <w:t>Troubleshooting</w:t>
      </w:r>
    </w:p>
    <w:p>
      <w:r>
        <w:t>Evidence artifacts are retained in Salesforce for at least 18 months. Regional teams in US follow the same policy with localized legal review. Systems are monitored via Prometheus and alert routing in Salesforce.</w:t>
      </w:r>
    </w:p>
    <w:p>
      <w:r>
        <w:t>Stakeholders include the Finance Analyst, service owner, and compliance lead for approvals. The process integrates with ERP System and depends on Prometheus for telemetry signals. Regional teams in US follow the same policy with localized legal review. Evidence artifacts are retained in Salesforce for at least 18 months.</w:t>
      </w:r>
    </w:p>
    <w:p>
      <w:pPr>
        <w:pStyle w:val="ListBullet"/>
      </w:pPr>
      <w:r>
        <w:t>The Security organization uses Prometheus to enforce consistent service baselines.</w:t>
      </w:r>
    </w:p>
    <w:p>
      <w:pPr>
        <w:pStyle w:val="ListBullet"/>
      </w:pPr>
      <w:r>
        <w:t>Systems are monitored via Prometheus and alert routing in Salesforce.</w:t>
      </w:r>
    </w:p>
    <w:p>
      <w:pPr>
        <w:pStyle w:val="ListBullet"/>
      </w:pPr>
      <w:r>
        <w:t>Systems are monitored via Prometheus and alert routing in Salesforce.</w:t>
      </w:r>
    </w:p>
    <w:p>
      <w:pPr>
        <w:pStyle w:val="ListBullet"/>
      </w:pPr>
      <w:r>
        <w:t>All incidents are tagged with severity and mapped to service tiers.</w:t>
      </w:r>
    </w:p>
    <w:p>
      <w:pPr>
        <w:pStyle w:val="ListBullet"/>
      </w:pPr>
      <w:r>
        <w:t>Teams must log requests in Salesforce and track outcomes in ERP System for audit readiness.</w:t>
      </w:r>
    </w:p>
    <w:p>
      <w:pPr>
        <w:pStyle w:val="ListBullet"/>
      </w:pPr>
      <w:r>
        <w:t>Stakeholders include the Finance Analyst, service owner, and compliance lead for approvals.</w:t>
      </w:r>
    </w:p>
    <w:p>
      <w:pPr>
        <w:pStyle w:val="Heading1"/>
      </w:pPr>
      <w:r>
        <w:t>Maintenance</w:t>
      </w:r>
    </w:p>
    <w:p>
      <w:r>
        <w:t>Stakeholders include the Finance Analyst, service owner, and compliance lead for approvals. The Security team coordinates with Finance Analyst to maintain operational readiness.</w:t>
      </w:r>
    </w:p>
    <w:p>
      <w:r>
        <w:t>Evidence artifacts are retained in Salesforce for at least 18 months. All changes require peer review and validation in the ERP System before production promotion. Systems are monitored via Prometheus and alert routing in Salesforce.</w:t>
      </w:r>
    </w:p>
    <w:p>
      <w:pPr>
        <w:pStyle w:val="ListBullet"/>
      </w:pPr>
      <w:r>
        <w:t>The process integrates with ERP System and depends on Prometheus for telemetry signals.</w:t>
      </w:r>
    </w:p>
    <w:p>
      <w:pPr>
        <w:pStyle w:val="ListBullet"/>
      </w:pPr>
      <w:r>
        <w:t>Teams must log requests in Salesforce and track outcomes in ERP System for audit readiness.</w:t>
      </w:r>
    </w:p>
    <w:p>
      <w:pPr>
        <w:pStyle w:val="ListBullet"/>
      </w:pPr>
      <w:r>
        <w:t>Regional teams in US follow the same policy with localized legal review.</w:t>
      </w:r>
    </w:p>
    <w:p>
      <w:pPr>
        <w:pStyle w:val="ListBullet"/>
      </w:pPr>
      <w:r>
        <w:t>Escalations should follow the on-call rotation with a response target of 30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