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Security US v1.2</w:t>
      </w:r>
    </w:p>
    <w:p>
      <w:r>
        <w:t>Department: Security</w:t>
      </w:r>
    </w:p>
    <w:p>
      <w:r>
        <w:t>Author: Avery Brown</w:t>
      </w:r>
    </w:p>
    <w:p>
      <w:r>
        <w:t>Created date: 2024-11-23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Systems are monitored via Datadog and alert routing in Slack. Audit sampling occurs monthly and is summarized in leadership dashboards. Stakeholders include the Release Manager, service owner, and compliance lead for approvals.</w:t>
      </w:r>
    </w:p>
    <w:p>
      <w:r>
        <w:t>This document aligns with GDPR requirements and supports US data residency expectations. Stakeholders include the Release Manager, service owner, and compliance lead for approvals.</w:t>
      </w:r>
    </w:p>
    <w:p>
      <w:pPr>
        <w:pStyle w:val="ListBullet"/>
      </w:pPr>
      <w:r>
        <w:t>Stakeholders include the Release Manager, service owner, and compliance lead for approvals.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Teams must log requests in Slack and track outcomes in Payment Processing Service for audit readiness.</w:t>
      </w:r>
    </w:p>
    <w:p>
      <w:pPr>
        <w:pStyle w:val="Heading1"/>
      </w:pPr>
      <w:r>
        <w:t>Installation</w:t>
      </w:r>
    </w:p>
    <w:p>
      <w:r>
        <w:t>All changes require peer review and validation in the Payment Processing Service before production promotion. Regional teams in US follow the same policy with localized legal review. Regional teams in US follow the same policy with localized legal review. Stakeholders include the Release Manager, service owner, and compliance lead for approvals.</w:t>
      </w:r>
    </w:p>
    <w:p>
      <w:r>
        <w:t>This document aligns with GDPR requirements and supports US data residency expectations. Escalations should follow the on-call rotation with a response target of 45 minutes. This document aligns with GDPR requirements and supports US data residency expectations. This document aligns with GDPR requirements and supports US data residency expectations.</w:t>
      </w:r>
    </w:p>
    <w:p>
      <w:pPr>
        <w:pStyle w:val="ListBullet"/>
      </w:pPr>
      <w:r>
        <w:t>Teams must log requests in Slack and track outcomes in Payment Processing Service for audit readiness.</w:t>
      </w:r>
    </w:p>
    <w:p>
      <w:pPr>
        <w:pStyle w:val="ListBullet"/>
      </w:pPr>
      <w:r>
        <w:t>Evidence artifacts are retained in Slack for at least 36 months.</w:t>
      </w:r>
    </w:p>
    <w:p>
      <w:pPr>
        <w:pStyle w:val="ListBullet"/>
      </w:pPr>
      <w:r>
        <w:t>All incidents are tagged with severity and mapped to service tiers.</w:t>
      </w:r>
    </w:p>
    <w:p>
      <w:pPr>
        <w:pStyle w:val="Heading1"/>
      </w:pPr>
      <w:r>
        <w:t>Configuration</w:t>
      </w:r>
    </w:p>
    <w:p>
      <w:r>
        <w:t>Regional teams in US follow the same policy with localized legal review. The Security team coordinates with Release Manager to maintain operational readiness. Systems are monitored via Datadog and alert routing in Slack. Audit sampling occurs monthly and is summarized in leadership dashboards.</w:t>
      </w:r>
    </w:p>
    <w:p>
      <w:r>
        <w:t>Escalations should follow the on-call rotation with a response target of 45 minutes. Risk acceptance must be documented and revalidated each quarter. This document aligns with GDPR requirements and supports US data residency expectations.</w:t>
      </w:r>
    </w:p>
    <w:p>
      <w:pPr>
        <w:pStyle w:val="ListBullet"/>
      </w:pPr>
      <w:r>
        <w:t>The Security team coordinates with Release Manager to maintain operational readiness.</w:t>
      </w:r>
    </w:p>
    <w:p>
      <w:pPr>
        <w:pStyle w:val="ListBullet"/>
      </w:pPr>
      <w:r>
        <w:t>Stakeholders include the Release Manager, service owner, and compliance lead for approvals.</w:t>
      </w:r>
    </w:p>
    <w:p>
      <w:pPr>
        <w:pStyle w:val="ListBullet"/>
      </w:pPr>
      <w:r>
        <w:t>This document aligns with GDPR requirements and supports US data residency expectations.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Security</w:t>
            </w:r>
          </w:p>
        </w:tc>
        <w:tc>
          <w:tcPr>
            <w:tcW w:type="dxa" w:w="2880"/>
          </w:tcPr>
          <w:p>
            <w:r>
              <w:t>Blocked</w:t>
            </w:r>
          </w:p>
        </w:tc>
      </w:tr>
      <w:tr>
        <w:tc>
          <w:tcPr>
            <w:tcW w:type="dxa" w:w="2880"/>
          </w:tcPr>
          <w:p>
            <w:r>
              <w:t>Incident drill</w:t>
            </w:r>
          </w:p>
        </w:tc>
        <w:tc>
          <w:tcPr>
            <w:tcW w:type="dxa" w:w="2880"/>
          </w:tcPr>
          <w:p>
            <w:r>
              <w:t>Operations</w:t>
            </w:r>
          </w:p>
        </w:tc>
        <w:tc>
          <w:tcPr>
            <w:tcW w:type="dxa" w:w="2880"/>
          </w:tcPr>
          <w:p>
            <w:r>
              <w:t>Blocked</w:t>
            </w:r>
          </w:p>
        </w:tc>
      </w:tr>
    </w:tbl>
    <w:p>
      <w:pPr>
        <w:pStyle w:val="Heading1"/>
      </w:pPr>
      <w:r>
        <w:t>Troubleshooting</w:t>
      </w:r>
    </w:p>
    <w:p>
      <w:r>
        <w:t>Risk acceptance must be documented and revalidated each quarter. Teams must log requests in Slack and track outcomes in Payment Processing Service for audit readiness. Stakeholders include the Release Manager, service owner, and compliance lead for approvals. We prioritize customer impact, data integrity, and regulatory alignment.</w:t>
      </w:r>
    </w:p>
    <w:p>
      <w:r>
        <w:t>Risk acceptance must be documented and revalidated each quarter. Evidence artifacts are retained in Slack for at least 36 months.</w:t>
      </w:r>
    </w:p>
    <w:p>
      <w:pPr>
        <w:pStyle w:val="ListBullet"/>
      </w:pPr>
      <w:r>
        <w:t>Teams must log requests in Slack and track outcomes in Payment Processing Service for audit readiness.</w:t>
      </w:r>
    </w:p>
    <w:p>
      <w:pPr>
        <w:pStyle w:val="ListBullet"/>
      </w:pPr>
      <w:r>
        <w:t>The process integrates with Payment Processing Service and depends on Datadog for telemetry signals.</w:t>
      </w:r>
    </w:p>
    <w:p>
      <w:pPr>
        <w:pStyle w:val="ListBullet"/>
      </w:pPr>
      <w:r>
        <w:t>All incidents are tagged with severity and mapped to service tiers.</w:t>
      </w:r>
    </w:p>
    <w:p>
      <w:pPr>
        <w:pStyle w:val="ListBullet"/>
      </w:pPr>
      <w:r>
        <w:t>The Security team coordinates with Release Manager to maintain operational readiness.</w:t>
      </w:r>
    </w:p>
    <w:p>
      <w:pPr>
        <w:pStyle w:val="ListBullet"/>
      </w:pPr>
      <w:r>
        <w:t>The process integrates with Payment Processing Service and depends on Datadog for telemetry signals.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Release Manager</w:t>
            </w:r>
          </w:p>
        </w:tc>
        <w:tc>
          <w:tcPr>
            <w:tcW w:type="dxa" w:w="2880"/>
          </w:tcPr>
          <w:p>
            <w:r>
              <w:t>Blocked</w:t>
            </w:r>
          </w:p>
        </w:tc>
      </w:tr>
    </w:tbl>
    <w:p>
      <w:pPr>
        <w:pStyle w:val="Heading1"/>
      </w:pPr>
      <w:r>
        <w:t>Maintenance</w:t>
      </w:r>
    </w:p>
    <w:p>
      <w:r>
        <w:t>Stakeholders include the Release Manager, service owner, and compliance lead for approvals. Systems are monitored via Datadog and alert routing in Slack. The process integrates with Payment Processing Service and depends on Datadog for telemetry signals.</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Systems are monitored via Datadog and alert routing in Slack.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