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E3" w:rsidRDefault="00C921B0" w:rsidP="00C921B0">
      <w:pPr>
        <w:pStyle w:val="3"/>
        <w:jc w:val="center"/>
      </w:pPr>
      <w:r>
        <w:t>Протокол измерений для лабораторной работы №7</w:t>
      </w:r>
    </w:p>
    <w:p w:rsidR="00C921B0" w:rsidRDefault="00C921B0" w:rsidP="00C921B0">
      <w:pPr>
        <w:pStyle w:val="3"/>
        <w:jc w:val="center"/>
      </w:pPr>
      <w:r>
        <w:t>Тема: Исследование резонансных явлений в простых электрических цепях</w:t>
      </w:r>
    </w:p>
    <w:p w:rsidR="00C921B0" w:rsidRDefault="00C921B0" w:rsidP="00C921B0"/>
    <w:p w:rsidR="00C921B0" w:rsidRDefault="00C921B0" w:rsidP="00C921B0">
      <w:pPr>
        <w:rPr>
          <w:i/>
        </w:rPr>
      </w:pPr>
      <w:r w:rsidRPr="00C921B0">
        <w:rPr>
          <w:i/>
        </w:rPr>
        <w:t xml:space="preserve">1. </w:t>
      </w:r>
      <w:r w:rsidRPr="00C921B0">
        <w:rPr>
          <w:i/>
        </w:rPr>
        <w:t>Исследов</w:t>
      </w:r>
      <w:r w:rsidRPr="00C921B0">
        <w:rPr>
          <w:i/>
        </w:rPr>
        <w:t xml:space="preserve">ание резонанса напряжений и АЧХ </w:t>
      </w:r>
      <w:r w:rsidRPr="00C921B0">
        <w:rPr>
          <w:i/>
        </w:rPr>
        <w:t>контура с малыми потерями</w:t>
      </w:r>
    </w:p>
    <w:p w:rsidR="00C921B0" w:rsidRPr="00C921B0" w:rsidRDefault="00C921B0" w:rsidP="00C921B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L=20mH, R=1kOhm, C=5nF,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2*pi*sqrt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CL</m:t>
                  </m:r>
                </m:e>
              </m:d>
            </m:den>
          </m:f>
        </m:oMath>
      </m:oMathPara>
    </w:p>
    <w:p w:rsidR="00C921B0" w:rsidRPr="00C921B0" w:rsidRDefault="00C921B0" w:rsidP="00C921B0">
      <w:pPr>
        <w:jc w:val="right"/>
        <w:rPr>
          <w:rFonts w:eastAsiaTheme="minorEastAsia"/>
          <w:i/>
        </w:rPr>
      </w:pPr>
      <w:r>
        <w:rPr>
          <w:rFonts w:eastAsiaTheme="minorEastAsia"/>
          <w:i/>
        </w:rPr>
        <w:t>Табл.1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921B0" w:rsidTr="00472B93">
        <w:tc>
          <w:tcPr>
            <w:tcW w:w="9571" w:type="dxa"/>
            <w:gridSpan w:val="4"/>
          </w:tcPr>
          <w:p w:rsidR="00C921B0" w:rsidRPr="00C921B0" w:rsidRDefault="00C921B0" w:rsidP="00C921B0">
            <w:pPr>
              <w:jc w:val="center"/>
            </w:pPr>
            <w:r>
              <w:t>Измеряют при резонансе</w:t>
            </w:r>
          </w:p>
        </w:tc>
      </w:tr>
      <w:tr w:rsidR="00C921B0" w:rsidTr="00C921B0">
        <w:tc>
          <w:tcPr>
            <w:tcW w:w="2392" w:type="dxa"/>
          </w:tcPr>
          <w:p w:rsidR="00C921B0" w:rsidRPr="00C921B0" w:rsidRDefault="00C921B0" w:rsidP="00C921B0">
            <w:pPr>
              <w:jc w:val="center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2393" w:type="dxa"/>
          </w:tcPr>
          <w:p w:rsidR="00C921B0" w:rsidRPr="00C921B0" w:rsidRDefault="00C921B0" w:rsidP="00C921B0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мА</m:t>
                </m:r>
              </m:oMath>
            </m:oMathPara>
          </w:p>
        </w:tc>
        <w:tc>
          <w:tcPr>
            <w:tcW w:w="2393" w:type="dxa"/>
          </w:tcPr>
          <w:p w:rsidR="00C921B0" w:rsidRPr="00C921B0" w:rsidRDefault="00C921B0" w:rsidP="00C921B0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кГц</m:t>
                </m:r>
              </m:oMath>
            </m:oMathPara>
          </w:p>
        </w:tc>
        <w:tc>
          <w:tcPr>
            <w:tcW w:w="2393" w:type="dxa"/>
          </w:tcPr>
          <w:p w:rsidR="00C921B0" w:rsidRPr="00C921B0" w:rsidRDefault="00C921B0" w:rsidP="00C921B0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</w:tr>
      <w:tr w:rsidR="00C921B0" w:rsidTr="00C921B0">
        <w:tc>
          <w:tcPr>
            <w:tcW w:w="2392" w:type="dxa"/>
          </w:tcPr>
          <w:p w:rsidR="00C921B0" w:rsidRPr="00C921B0" w:rsidRDefault="00C921B0" w:rsidP="00C921B0">
            <w:pPr>
              <w:jc w:val="center"/>
            </w:pPr>
            <w:r>
              <w:t>2</w:t>
            </w:r>
          </w:p>
        </w:tc>
        <w:tc>
          <w:tcPr>
            <w:tcW w:w="2393" w:type="dxa"/>
          </w:tcPr>
          <w:p w:rsidR="00C921B0" w:rsidRPr="00C921B0" w:rsidRDefault="00C921B0" w:rsidP="00C921B0">
            <w:pPr>
              <w:jc w:val="center"/>
            </w:pPr>
            <w:r>
              <w:t>10.011</w:t>
            </w:r>
          </w:p>
        </w:tc>
        <w:tc>
          <w:tcPr>
            <w:tcW w:w="2393" w:type="dxa"/>
          </w:tcPr>
          <w:p w:rsidR="00C921B0" w:rsidRPr="00C921B0" w:rsidRDefault="00C921B0" w:rsidP="00790D5F">
            <w:pPr>
              <w:jc w:val="center"/>
            </w:pPr>
            <w:r>
              <w:t>14.</w:t>
            </w:r>
            <w:r w:rsidR="00790D5F">
              <w:t>229</w:t>
            </w:r>
          </w:p>
        </w:tc>
        <w:tc>
          <w:tcPr>
            <w:tcW w:w="2393" w:type="dxa"/>
          </w:tcPr>
          <w:p w:rsidR="00C921B0" w:rsidRPr="00C921B0" w:rsidRDefault="00C921B0" w:rsidP="00C921B0">
            <w:pPr>
              <w:jc w:val="center"/>
            </w:pPr>
            <w:r>
              <w:t>22.353</w:t>
            </w:r>
          </w:p>
        </w:tc>
      </w:tr>
    </w:tbl>
    <w:p w:rsidR="00C921B0" w:rsidRDefault="00C921B0" w:rsidP="00C921B0"/>
    <w:p w:rsidR="00C921B0" w:rsidRPr="00C921B0" w:rsidRDefault="00C921B0" w:rsidP="00C921B0">
      <w:pPr>
        <w:jc w:val="right"/>
        <w:rPr>
          <w:i/>
        </w:rPr>
      </w:pPr>
      <w:r>
        <w:rPr>
          <w:i/>
        </w:rPr>
        <w:t>Табл.2</w:t>
      </w: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4785"/>
        <w:gridCol w:w="4786"/>
      </w:tblGrid>
      <w:tr w:rsidR="00C921B0" w:rsidTr="00C921B0">
        <w:trPr>
          <w:jc w:val="right"/>
        </w:trPr>
        <w:tc>
          <w:tcPr>
            <w:tcW w:w="9571" w:type="dxa"/>
            <w:gridSpan w:val="2"/>
          </w:tcPr>
          <w:p w:rsidR="00C921B0" w:rsidRPr="00C921B0" w:rsidRDefault="00C921B0" w:rsidP="00C921B0">
            <w:pPr>
              <w:jc w:val="center"/>
            </w:pPr>
            <w:r>
              <w:t>Измеряют</w:t>
            </w:r>
          </w:p>
        </w:tc>
      </w:tr>
      <w:tr w:rsidR="00C921B0" w:rsidTr="00C921B0">
        <w:trPr>
          <w:jc w:val="right"/>
        </w:trPr>
        <w:tc>
          <w:tcPr>
            <w:tcW w:w="4785" w:type="dxa"/>
          </w:tcPr>
          <w:p w:rsidR="00C921B0" w:rsidRPr="00C921B0" w:rsidRDefault="00C921B0" w:rsidP="00C921B0">
            <w:pPr>
              <w:jc w:val="center"/>
            </w:pPr>
            <w:r>
              <w:rPr>
                <w:lang w:val="en-US"/>
              </w:rPr>
              <w:t xml:space="preserve">F, </w:t>
            </w:r>
            <w:r>
              <w:t>кГц</w:t>
            </w:r>
          </w:p>
        </w:tc>
        <w:tc>
          <w:tcPr>
            <w:tcW w:w="4786" w:type="dxa"/>
          </w:tcPr>
          <w:p w:rsidR="00C921B0" w:rsidRPr="00C921B0" w:rsidRDefault="00C921B0" w:rsidP="00C921B0">
            <w:pPr>
              <w:jc w:val="center"/>
            </w:pPr>
            <w:r>
              <w:rPr>
                <w:lang w:val="en-US"/>
              </w:rPr>
              <w:t xml:space="preserve">I, </w:t>
            </w:r>
            <w:r>
              <w:t>мА</w:t>
            </w:r>
          </w:p>
        </w:tc>
      </w:tr>
      <w:tr w:rsidR="00C921B0" w:rsidTr="00C921B0">
        <w:trPr>
          <w:jc w:val="right"/>
        </w:trPr>
        <w:tc>
          <w:tcPr>
            <w:tcW w:w="4785" w:type="dxa"/>
          </w:tcPr>
          <w:p w:rsidR="00C921B0" w:rsidRPr="00C921B0" w:rsidRDefault="00C921B0" w:rsidP="00790D5F">
            <w:pPr>
              <w:jc w:val="center"/>
            </w:pPr>
            <w:r>
              <w:t>14.</w:t>
            </w:r>
            <w:r w:rsidR="00790D5F">
              <w:t xml:space="preserve"> </w:t>
            </w:r>
            <w:r w:rsidR="00790D5F" w:rsidRPr="00790D5F">
              <w:t>229</w:t>
            </w:r>
          </w:p>
        </w:tc>
        <w:tc>
          <w:tcPr>
            <w:tcW w:w="4786" w:type="dxa"/>
          </w:tcPr>
          <w:p w:rsidR="00C921B0" w:rsidRPr="00C921B0" w:rsidRDefault="00C921B0" w:rsidP="00C921B0">
            <w:pPr>
              <w:jc w:val="center"/>
            </w:pPr>
            <w:r>
              <w:t>10.011</w:t>
            </w:r>
          </w:p>
        </w:tc>
      </w:tr>
    </w:tbl>
    <w:p w:rsidR="00C921B0" w:rsidRDefault="00C921B0" w:rsidP="00C921B0"/>
    <w:p w:rsidR="00790D5F" w:rsidRDefault="00790D5F" w:rsidP="00C921B0">
      <w:r w:rsidRPr="00790D5F">
        <w:drawing>
          <wp:inline distT="0" distB="0" distL="0" distR="0" wp14:anchorId="4DAAC844" wp14:editId="29FAFCB9">
            <wp:extent cx="5940425" cy="3346969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B0" w:rsidRDefault="00C921B0" w:rsidP="00C921B0">
      <w:pPr>
        <w:rPr>
          <w:i/>
        </w:rPr>
      </w:pPr>
      <w:r w:rsidRPr="00C921B0">
        <w:rPr>
          <w:i/>
        </w:rPr>
        <w:t xml:space="preserve">2. </w:t>
      </w:r>
      <w:r w:rsidRPr="00C921B0">
        <w:rPr>
          <w:i/>
        </w:rPr>
        <w:t>Исследов</w:t>
      </w:r>
      <w:r w:rsidRPr="00C921B0">
        <w:rPr>
          <w:i/>
        </w:rPr>
        <w:t xml:space="preserve">ание резонанса напряжений и АЧХ </w:t>
      </w:r>
      <w:r w:rsidRPr="00C921B0">
        <w:rPr>
          <w:i/>
        </w:rPr>
        <w:t>контура с большими потерями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90D5F" w:rsidTr="00DA6A97">
        <w:tc>
          <w:tcPr>
            <w:tcW w:w="9571" w:type="dxa"/>
            <w:gridSpan w:val="4"/>
          </w:tcPr>
          <w:p w:rsidR="00790D5F" w:rsidRPr="00C921B0" w:rsidRDefault="00790D5F" w:rsidP="00DA6A97">
            <w:pPr>
              <w:jc w:val="center"/>
            </w:pPr>
            <w:r>
              <w:t>Измеряют при резонансе</w:t>
            </w:r>
          </w:p>
        </w:tc>
      </w:tr>
      <w:tr w:rsidR="00790D5F" w:rsidTr="00DA6A97">
        <w:tc>
          <w:tcPr>
            <w:tcW w:w="2392" w:type="dxa"/>
          </w:tcPr>
          <w:p w:rsidR="00790D5F" w:rsidRPr="00C921B0" w:rsidRDefault="00790D5F" w:rsidP="00DA6A97">
            <w:pPr>
              <w:jc w:val="center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2393" w:type="dxa"/>
          </w:tcPr>
          <w:p w:rsidR="00790D5F" w:rsidRPr="00C921B0" w:rsidRDefault="00790D5F" w:rsidP="00DA6A9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мА</m:t>
                </m:r>
              </m:oMath>
            </m:oMathPara>
          </w:p>
        </w:tc>
        <w:tc>
          <w:tcPr>
            <w:tcW w:w="2393" w:type="dxa"/>
          </w:tcPr>
          <w:p w:rsidR="00790D5F" w:rsidRPr="00C921B0" w:rsidRDefault="00790D5F" w:rsidP="00DA6A9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кГц</m:t>
                </m:r>
              </m:oMath>
            </m:oMathPara>
          </w:p>
        </w:tc>
        <w:tc>
          <w:tcPr>
            <w:tcW w:w="2393" w:type="dxa"/>
          </w:tcPr>
          <w:p w:rsidR="00790D5F" w:rsidRPr="00C921B0" w:rsidRDefault="00790D5F" w:rsidP="00DA6A9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</w:tr>
      <w:tr w:rsidR="00790D5F" w:rsidTr="00DA6A97">
        <w:tc>
          <w:tcPr>
            <w:tcW w:w="2392" w:type="dxa"/>
          </w:tcPr>
          <w:p w:rsidR="00790D5F" w:rsidRPr="00C921B0" w:rsidRDefault="00790D5F" w:rsidP="00DA6A97">
            <w:pPr>
              <w:jc w:val="center"/>
            </w:pPr>
            <w:r>
              <w:t>2</w:t>
            </w:r>
          </w:p>
        </w:tc>
        <w:tc>
          <w:tcPr>
            <w:tcW w:w="2393" w:type="dxa"/>
          </w:tcPr>
          <w:p w:rsidR="00790D5F" w:rsidRPr="00C921B0" w:rsidRDefault="00790D5F" w:rsidP="00DA6A97">
            <w:pPr>
              <w:jc w:val="center"/>
            </w:pPr>
            <w:r>
              <w:t>1.66</w:t>
            </w:r>
          </w:p>
        </w:tc>
        <w:tc>
          <w:tcPr>
            <w:tcW w:w="2393" w:type="dxa"/>
          </w:tcPr>
          <w:p w:rsidR="00790D5F" w:rsidRPr="00C921B0" w:rsidRDefault="00790D5F" w:rsidP="00DA6A97">
            <w:pPr>
              <w:jc w:val="center"/>
            </w:pPr>
            <w:r>
              <w:t>14.</w:t>
            </w:r>
            <w:r>
              <w:t xml:space="preserve"> </w:t>
            </w:r>
            <w:r w:rsidRPr="00790D5F">
              <w:t>229</w:t>
            </w:r>
          </w:p>
        </w:tc>
        <w:tc>
          <w:tcPr>
            <w:tcW w:w="2393" w:type="dxa"/>
          </w:tcPr>
          <w:p w:rsidR="00790D5F" w:rsidRPr="00C921B0" w:rsidRDefault="00790D5F" w:rsidP="00DA6A97">
            <w:pPr>
              <w:jc w:val="center"/>
            </w:pPr>
            <w:r>
              <w:t>3.698</w:t>
            </w:r>
          </w:p>
        </w:tc>
      </w:tr>
    </w:tbl>
    <w:p w:rsidR="00C921B0" w:rsidRDefault="00C921B0" w:rsidP="00C921B0"/>
    <w:p w:rsidR="00790D5F" w:rsidRDefault="00790D5F" w:rsidP="00C921B0"/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4785"/>
        <w:gridCol w:w="4786"/>
      </w:tblGrid>
      <w:tr w:rsidR="00790D5F" w:rsidTr="00DA6A97">
        <w:trPr>
          <w:jc w:val="right"/>
        </w:trPr>
        <w:tc>
          <w:tcPr>
            <w:tcW w:w="9571" w:type="dxa"/>
            <w:gridSpan w:val="2"/>
          </w:tcPr>
          <w:p w:rsidR="00790D5F" w:rsidRPr="00C921B0" w:rsidRDefault="00790D5F" w:rsidP="00DA6A97">
            <w:pPr>
              <w:jc w:val="center"/>
            </w:pPr>
            <w:r>
              <w:lastRenderedPageBreak/>
              <w:t>Измеряют</w:t>
            </w:r>
          </w:p>
        </w:tc>
      </w:tr>
      <w:tr w:rsidR="00790D5F" w:rsidTr="00DA6A97">
        <w:trPr>
          <w:jc w:val="right"/>
        </w:trPr>
        <w:tc>
          <w:tcPr>
            <w:tcW w:w="4785" w:type="dxa"/>
          </w:tcPr>
          <w:p w:rsidR="00790D5F" w:rsidRPr="00C921B0" w:rsidRDefault="00790D5F" w:rsidP="00DA6A97">
            <w:pPr>
              <w:jc w:val="center"/>
            </w:pPr>
            <w:r>
              <w:rPr>
                <w:lang w:val="en-US"/>
              </w:rPr>
              <w:t xml:space="preserve">F, </w:t>
            </w:r>
            <w:r>
              <w:t>кГц</w:t>
            </w:r>
          </w:p>
        </w:tc>
        <w:tc>
          <w:tcPr>
            <w:tcW w:w="4786" w:type="dxa"/>
          </w:tcPr>
          <w:p w:rsidR="00790D5F" w:rsidRPr="00C921B0" w:rsidRDefault="00790D5F" w:rsidP="00DA6A97">
            <w:pPr>
              <w:jc w:val="center"/>
            </w:pPr>
            <w:r>
              <w:rPr>
                <w:lang w:val="en-US"/>
              </w:rPr>
              <w:t xml:space="preserve">I, </w:t>
            </w:r>
            <w:r>
              <w:t>мА</w:t>
            </w:r>
          </w:p>
        </w:tc>
      </w:tr>
      <w:tr w:rsidR="00790D5F" w:rsidTr="00DA6A97">
        <w:trPr>
          <w:jc w:val="right"/>
        </w:trPr>
        <w:tc>
          <w:tcPr>
            <w:tcW w:w="4785" w:type="dxa"/>
          </w:tcPr>
          <w:p w:rsidR="00790D5F" w:rsidRPr="00C921B0" w:rsidRDefault="00790D5F" w:rsidP="00DA6A97">
            <w:pPr>
              <w:jc w:val="center"/>
            </w:pPr>
            <w:r>
              <w:t>14.</w:t>
            </w:r>
            <w:r>
              <w:t xml:space="preserve"> </w:t>
            </w:r>
            <w:r w:rsidRPr="00790D5F">
              <w:t>229</w:t>
            </w:r>
          </w:p>
        </w:tc>
        <w:tc>
          <w:tcPr>
            <w:tcW w:w="4786" w:type="dxa"/>
          </w:tcPr>
          <w:p w:rsidR="00790D5F" w:rsidRPr="00C921B0" w:rsidRDefault="00790D5F" w:rsidP="00DA6A97">
            <w:pPr>
              <w:jc w:val="center"/>
            </w:pPr>
            <w:r>
              <w:t>1.66</w:t>
            </w:r>
          </w:p>
        </w:tc>
      </w:tr>
    </w:tbl>
    <w:p w:rsidR="00790D5F" w:rsidRDefault="00790D5F" w:rsidP="00C921B0"/>
    <w:p w:rsidR="00790D5F" w:rsidRDefault="00790D5F" w:rsidP="00C921B0">
      <w:r w:rsidRPr="00790D5F">
        <w:drawing>
          <wp:inline distT="0" distB="0" distL="0" distR="0" wp14:anchorId="4801FDC8" wp14:editId="4A296850">
            <wp:extent cx="5940425" cy="336045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5F" w:rsidRDefault="00790D5F" w:rsidP="00C921B0"/>
    <w:p w:rsidR="00790D5F" w:rsidRDefault="00790D5F" w:rsidP="00C921B0">
      <w:pPr>
        <w:rPr>
          <w:i/>
        </w:rPr>
      </w:pPr>
      <w:r w:rsidRPr="00790D5F">
        <w:rPr>
          <w:i/>
        </w:rPr>
        <w:t>3. Исследование влияния емкости на характеристики контура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90D5F" w:rsidTr="00DA6A97">
        <w:tc>
          <w:tcPr>
            <w:tcW w:w="9571" w:type="dxa"/>
            <w:gridSpan w:val="4"/>
          </w:tcPr>
          <w:p w:rsidR="00790D5F" w:rsidRPr="00C921B0" w:rsidRDefault="00790D5F" w:rsidP="00DA6A97">
            <w:pPr>
              <w:jc w:val="center"/>
            </w:pPr>
            <w:r>
              <w:t>Измеряют при резонансе</w:t>
            </w:r>
          </w:p>
        </w:tc>
      </w:tr>
      <w:tr w:rsidR="00790D5F" w:rsidTr="00DA6A97">
        <w:tc>
          <w:tcPr>
            <w:tcW w:w="2392" w:type="dxa"/>
          </w:tcPr>
          <w:p w:rsidR="00790D5F" w:rsidRPr="00C921B0" w:rsidRDefault="00790D5F" w:rsidP="00DA6A97">
            <w:pPr>
              <w:jc w:val="center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2393" w:type="dxa"/>
          </w:tcPr>
          <w:p w:rsidR="00790D5F" w:rsidRPr="00C921B0" w:rsidRDefault="00790D5F" w:rsidP="00DA6A9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мА</m:t>
                </m:r>
              </m:oMath>
            </m:oMathPara>
          </w:p>
        </w:tc>
        <w:tc>
          <w:tcPr>
            <w:tcW w:w="2393" w:type="dxa"/>
          </w:tcPr>
          <w:p w:rsidR="00790D5F" w:rsidRPr="00C921B0" w:rsidRDefault="00790D5F" w:rsidP="00DA6A9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кГц</m:t>
                </m:r>
              </m:oMath>
            </m:oMathPara>
          </w:p>
        </w:tc>
        <w:tc>
          <w:tcPr>
            <w:tcW w:w="2393" w:type="dxa"/>
          </w:tcPr>
          <w:p w:rsidR="00790D5F" w:rsidRPr="00C921B0" w:rsidRDefault="00790D5F" w:rsidP="00DA6A9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</w:tr>
      <w:tr w:rsidR="00790D5F" w:rsidTr="00DA6A97">
        <w:tc>
          <w:tcPr>
            <w:tcW w:w="2392" w:type="dxa"/>
          </w:tcPr>
          <w:p w:rsidR="00790D5F" w:rsidRPr="00C921B0" w:rsidRDefault="00790D5F" w:rsidP="00DA6A97">
            <w:pPr>
              <w:jc w:val="center"/>
            </w:pPr>
            <w:r>
              <w:t>2</w:t>
            </w:r>
          </w:p>
        </w:tc>
        <w:tc>
          <w:tcPr>
            <w:tcW w:w="2393" w:type="dxa"/>
          </w:tcPr>
          <w:p w:rsidR="00790D5F" w:rsidRPr="00C921B0" w:rsidRDefault="00790D5F" w:rsidP="00DA6A97">
            <w:pPr>
              <w:jc w:val="center"/>
            </w:pPr>
            <w:r>
              <w:t>1.66</w:t>
            </w:r>
          </w:p>
        </w:tc>
        <w:tc>
          <w:tcPr>
            <w:tcW w:w="2393" w:type="dxa"/>
          </w:tcPr>
          <w:p w:rsidR="00790D5F" w:rsidRPr="00C921B0" w:rsidRDefault="00790D5F" w:rsidP="00DA6A97">
            <w:pPr>
              <w:jc w:val="center"/>
            </w:pPr>
            <w:r>
              <w:t>10</w:t>
            </w:r>
          </w:p>
        </w:tc>
        <w:tc>
          <w:tcPr>
            <w:tcW w:w="2393" w:type="dxa"/>
          </w:tcPr>
          <w:p w:rsidR="00790D5F" w:rsidRPr="00C921B0" w:rsidRDefault="00790D5F" w:rsidP="00DA6A97">
            <w:pPr>
              <w:jc w:val="center"/>
            </w:pPr>
            <w:r>
              <w:t>2.643</w:t>
            </w:r>
          </w:p>
        </w:tc>
      </w:tr>
    </w:tbl>
    <w:p w:rsidR="00790D5F" w:rsidRDefault="00790D5F" w:rsidP="00C921B0"/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4785"/>
        <w:gridCol w:w="4786"/>
      </w:tblGrid>
      <w:tr w:rsidR="00790D5F" w:rsidTr="00DA6A97">
        <w:trPr>
          <w:jc w:val="right"/>
        </w:trPr>
        <w:tc>
          <w:tcPr>
            <w:tcW w:w="9571" w:type="dxa"/>
            <w:gridSpan w:val="2"/>
          </w:tcPr>
          <w:p w:rsidR="00790D5F" w:rsidRPr="00C921B0" w:rsidRDefault="00790D5F" w:rsidP="00DA6A97">
            <w:pPr>
              <w:jc w:val="center"/>
            </w:pPr>
            <w:r>
              <w:t>Измеряют</w:t>
            </w:r>
          </w:p>
        </w:tc>
      </w:tr>
      <w:tr w:rsidR="00790D5F" w:rsidTr="00DA6A97">
        <w:trPr>
          <w:jc w:val="right"/>
        </w:trPr>
        <w:tc>
          <w:tcPr>
            <w:tcW w:w="4785" w:type="dxa"/>
          </w:tcPr>
          <w:p w:rsidR="00790D5F" w:rsidRPr="00C921B0" w:rsidRDefault="00790D5F" w:rsidP="00DA6A97">
            <w:pPr>
              <w:jc w:val="center"/>
            </w:pPr>
            <w:r>
              <w:rPr>
                <w:lang w:val="en-US"/>
              </w:rPr>
              <w:t xml:space="preserve">F, </w:t>
            </w:r>
            <w:r>
              <w:t>кГц</w:t>
            </w:r>
          </w:p>
        </w:tc>
        <w:tc>
          <w:tcPr>
            <w:tcW w:w="4786" w:type="dxa"/>
          </w:tcPr>
          <w:p w:rsidR="00790D5F" w:rsidRPr="00C921B0" w:rsidRDefault="00790D5F" w:rsidP="00DA6A97">
            <w:pPr>
              <w:jc w:val="center"/>
            </w:pPr>
            <w:r>
              <w:rPr>
                <w:lang w:val="en-US"/>
              </w:rPr>
              <w:t xml:space="preserve">I, </w:t>
            </w:r>
            <w:r>
              <w:t>мА</w:t>
            </w:r>
          </w:p>
        </w:tc>
      </w:tr>
      <w:tr w:rsidR="00790D5F" w:rsidTr="00DA6A97">
        <w:trPr>
          <w:jc w:val="right"/>
        </w:trPr>
        <w:tc>
          <w:tcPr>
            <w:tcW w:w="4785" w:type="dxa"/>
          </w:tcPr>
          <w:p w:rsidR="00790D5F" w:rsidRPr="00C921B0" w:rsidRDefault="00790D5F" w:rsidP="00DA6A97">
            <w:pPr>
              <w:jc w:val="center"/>
            </w:pPr>
            <w:r>
              <w:t>10</w:t>
            </w:r>
          </w:p>
        </w:tc>
        <w:tc>
          <w:tcPr>
            <w:tcW w:w="4786" w:type="dxa"/>
          </w:tcPr>
          <w:p w:rsidR="00790D5F" w:rsidRPr="00C921B0" w:rsidRDefault="00790D5F" w:rsidP="00DA6A97">
            <w:pPr>
              <w:jc w:val="center"/>
            </w:pPr>
            <w:r>
              <w:t>1.66</w:t>
            </w:r>
          </w:p>
        </w:tc>
      </w:tr>
    </w:tbl>
    <w:p w:rsidR="00790D5F" w:rsidRDefault="00790D5F" w:rsidP="00C921B0">
      <w:r w:rsidRPr="00790D5F">
        <w:lastRenderedPageBreak/>
        <w:drawing>
          <wp:inline distT="0" distB="0" distL="0" distR="0" wp14:anchorId="264C9BA9" wp14:editId="7E6D7CFA">
            <wp:extent cx="5940425" cy="333593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5F" w:rsidRDefault="00790D5F" w:rsidP="00C921B0"/>
    <w:p w:rsidR="00BE14E6" w:rsidRDefault="00BE14E6" w:rsidP="00C921B0"/>
    <w:p w:rsidR="00BE14E6" w:rsidRDefault="00BE14E6" w:rsidP="00C921B0"/>
    <w:p w:rsidR="00BE14E6" w:rsidRDefault="00BE14E6" w:rsidP="00C921B0"/>
    <w:p w:rsidR="00BE14E6" w:rsidRDefault="00BE14E6" w:rsidP="00C921B0"/>
    <w:p w:rsidR="00BE14E6" w:rsidRDefault="00BE14E6" w:rsidP="00C921B0"/>
    <w:p w:rsidR="00BE14E6" w:rsidRDefault="00BE14E6" w:rsidP="00C921B0"/>
    <w:p w:rsidR="00BE14E6" w:rsidRDefault="00BE14E6" w:rsidP="00C921B0"/>
    <w:p w:rsidR="00BE14E6" w:rsidRDefault="00BE14E6" w:rsidP="00C921B0">
      <w:bookmarkStart w:id="0" w:name="_GoBack"/>
      <w:bookmarkEnd w:id="0"/>
    </w:p>
    <w:p w:rsidR="00BE14E6" w:rsidRDefault="00BE14E6" w:rsidP="00C921B0"/>
    <w:p w:rsidR="00BE14E6" w:rsidRDefault="00BE14E6" w:rsidP="00C921B0"/>
    <w:p w:rsidR="00BE14E6" w:rsidRDefault="00BE14E6" w:rsidP="00C921B0"/>
    <w:p w:rsidR="00BE14E6" w:rsidRDefault="00BE14E6" w:rsidP="00C921B0"/>
    <w:p w:rsidR="00BE14E6" w:rsidRDefault="00BE14E6" w:rsidP="00C921B0"/>
    <w:p w:rsidR="00BE14E6" w:rsidRDefault="00BE14E6" w:rsidP="00BE14E6">
      <w:r>
        <w:t>Группа 8382</w:t>
      </w:r>
    </w:p>
    <w:p w:rsidR="00BE14E6" w:rsidRDefault="00BE14E6" w:rsidP="00BE14E6">
      <w:r>
        <w:t>Факультет КТИ</w:t>
      </w:r>
    </w:p>
    <w:p w:rsidR="00BE14E6" w:rsidRDefault="00BE14E6" w:rsidP="00BE14E6">
      <w:r>
        <w:t>Мирончик П.Д.</w:t>
      </w:r>
    </w:p>
    <w:p w:rsidR="00BE14E6" w:rsidRPr="00790D5F" w:rsidRDefault="00BE14E6" w:rsidP="00BE14E6">
      <w:r>
        <w:t>14 октября 2020г.</w:t>
      </w:r>
    </w:p>
    <w:sectPr w:rsidR="00BE14E6" w:rsidRPr="00790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E69"/>
    <w:rsid w:val="000030C1"/>
    <w:rsid w:val="001A7E69"/>
    <w:rsid w:val="00790D5F"/>
    <w:rsid w:val="009A147B"/>
    <w:rsid w:val="00B66BE3"/>
    <w:rsid w:val="00BE14E6"/>
    <w:rsid w:val="00C9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D5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92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C921B0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C92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921B0"/>
    <w:rPr>
      <w:rFonts w:ascii="Times New Roman" w:eastAsiaTheme="majorEastAsia" w:hAnsi="Times New Roman" w:cstheme="majorBidi"/>
      <w:b/>
      <w:bCs/>
      <w:sz w:val="24"/>
    </w:rPr>
  </w:style>
  <w:style w:type="character" w:styleId="a3">
    <w:name w:val="Placeholder Text"/>
    <w:basedOn w:val="a0"/>
    <w:uiPriority w:val="99"/>
    <w:semiHidden/>
    <w:rsid w:val="00C921B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9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21B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9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D5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92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C921B0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C92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921B0"/>
    <w:rPr>
      <w:rFonts w:ascii="Times New Roman" w:eastAsiaTheme="majorEastAsia" w:hAnsi="Times New Roman" w:cstheme="majorBidi"/>
      <w:b/>
      <w:bCs/>
      <w:sz w:val="24"/>
    </w:rPr>
  </w:style>
  <w:style w:type="character" w:styleId="a3">
    <w:name w:val="Placeholder Text"/>
    <w:basedOn w:val="a0"/>
    <w:uiPriority w:val="99"/>
    <w:semiHidden/>
    <w:rsid w:val="00C921B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9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21B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9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2020-12-19T19:11:00Z</dcterms:created>
  <dcterms:modified xsi:type="dcterms:W3CDTF">2020-12-19T19:41:00Z</dcterms:modified>
</cp:coreProperties>
</file>