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C94326" w:rsidRPr="00C94326" w14:paraId="6E901C66" w14:textId="77777777" w:rsidTr="00C94326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6E95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bookmarkStart w:id="0" w:name="_Hlk86167620"/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C94326" w:rsidRPr="00C94326" w14:paraId="1366EAD7" w14:textId="77777777" w:rsidTr="00C94326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F4ACF10" w14:textId="77777777" w:rsid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299E5FD4" w14:textId="1DF58524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BCF1BB6" w14:textId="15326736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C94326" w:rsidRPr="00C94326" w14:paraId="5C691362" w14:textId="77777777" w:rsidTr="00C94326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6E4BE5C9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0BB4C3F" w14:textId="544B4CE0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C94326" w:rsidRPr="00C94326" w14:paraId="17BA2FFA" w14:textId="77777777" w:rsidTr="00C94326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19723D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406D9E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C94326" w:rsidRPr="00C94326" w14:paraId="150AC2D0" w14:textId="77777777" w:rsidTr="00C94326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CCF3AAC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C94326" w:rsidRPr="00C94326" w14:paraId="4EB17BD4" w14:textId="77777777" w:rsidTr="00C9432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4F5F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D6FD" w14:textId="5DB956D5" w:rsidR="00C94326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proofErr w:type="spellStart"/>
            <w:r w:rsidR="00C94326">
              <w:rPr>
                <w:lang w:eastAsia="ru-RU"/>
              </w:rPr>
              <w:t>Тавеллер</w:t>
            </w:r>
            <w:proofErr w:type="spellEnd"/>
            <w:r>
              <w:rPr>
                <w:lang w:val="en-US" w:eastAsia="ru-RU"/>
              </w:rPr>
              <w:t>”</w:t>
            </w:r>
          </w:p>
        </w:tc>
      </w:tr>
      <w:tr w:rsidR="00C94326" w:rsidRPr="00C94326" w14:paraId="79B60454" w14:textId="77777777" w:rsidTr="00C9432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85EA4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7F43" w14:textId="23A60755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C94326" w:rsidRPr="00C94326" w14:paraId="01ED67CC" w14:textId="77777777" w:rsidTr="00C94326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1064C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6E26" w14:textId="700004AD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C94326" w:rsidRPr="00C94326" w14:paraId="083C7427" w14:textId="77777777" w:rsidTr="00C94326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B3B53C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C94326" w:rsidRPr="00C94326" w14:paraId="33702B3F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240ACDD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634676A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C94326" w:rsidRPr="00C94326" w14:paraId="3BF6D2F5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137CC47" w14:textId="77777777" w:rsidR="00C94326" w:rsidRPr="00C94326" w:rsidRDefault="00C94326" w:rsidP="00C94326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4A4A912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C94326" w:rsidRPr="00C94326" w14:paraId="327F882C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707DC6C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9FBF6D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C94326" w:rsidRPr="00C94326" w14:paraId="2B8BAC03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97D613" w14:textId="77777777" w:rsidR="00C94326" w:rsidRPr="00C94326" w:rsidRDefault="00C94326" w:rsidP="00C94326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FC8BCB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C94326" w:rsidRPr="00C94326" w14:paraId="37588006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52AA96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66F883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C94326" w:rsidRPr="00C94326" w14:paraId="738AE83B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43621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0D628F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C94326" w:rsidRPr="00C94326" w14:paraId="456A65FC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2FC08EF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EF8913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C94326" w:rsidRPr="00C94326" w14:paraId="6AC1C241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D74459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65CEF7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C94326" w:rsidRPr="00C94326" w14:paraId="20033532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646205D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B546713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C94326" w:rsidRPr="00C94326" w14:paraId="59614FC7" w14:textId="77777777" w:rsidTr="00C94326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1C8B38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15A4D6" w14:textId="77777777" w:rsidR="00C94326" w:rsidRPr="00C94326" w:rsidRDefault="00C94326" w:rsidP="00C94326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C94326" w:rsidRPr="00C94326" w14:paraId="4441E142" w14:textId="77777777" w:rsidTr="00C94326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E5B51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C94326" w:rsidRPr="00C94326" w14:paraId="2BFCC48B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689C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E57F" w14:textId="77777777" w:rsidR="004E297D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6998F506" w14:textId="47D12C8F" w:rsidR="00C94326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C94326" w:rsidRPr="00C94326" w14:paraId="75469B3C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CC86A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4713BA9" w14:textId="77777777" w:rsidR="00C94326" w:rsidRPr="00964C5E" w:rsidRDefault="00C94326" w:rsidP="00C94326">
            <w:pPr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170AA23B" w14:textId="77777777" w:rsidR="00C94326" w:rsidRPr="00C94326" w:rsidRDefault="00C94326" w:rsidP="00C94326">
            <w:pPr>
              <w:numPr>
                <w:ilvl w:val="0"/>
                <w:numId w:val="12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406C" w14:textId="1054DDD1" w:rsid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</w:t>
            </w:r>
            <w:r w:rsidR="004E297D">
              <w:rPr>
                <w:lang w:eastAsia="ru-RU"/>
              </w:rPr>
              <w:t>2 структурных подразделения</w:t>
            </w:r>
          </w:p>
          <w:p w14:paraId="0DFE7120" w14:textId="2DA82161" w:rsidR="004E297D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C94326" w:rsidRPr="00C94326" w14:paraId="09A79112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E38FF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4D35" w14:textId="5DCA9301" w:rsidR="00C94326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C94326" w:rsidRPr="00C94326" w14:paraId="116D75FD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51675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6AD0" w14:textId="77777777" w:rsidR="004E297D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32EB8C2D" w14:textId="0366374C" w:rsidR="004E297D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C94326" w:rsidRPr="00C94326" w14:paraId="02CD8568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2402" w14:textId="77777777" w:rsidR="00C94326" w:rsidRPr="00C94326" w:rsidRDefault="00C94326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23F0" w14:textId="4E82BBE6" w:rsidR="00C94326" w:rsidRPr="00C94326" w:rsidRDefault="004E297D" w:rsidP="00C9432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C94326" w:rsidRPr="00C94326" w14:paraId="74CC7BA4" w14:textId="77777777" w:rsidTr="00C94326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3AABE" w14:textId="77777777" w:rsidR="00C94326" w:rsidRPr="00C94326" w:rsidRDefault="00C94326" w:rsidP="00C94326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B33" w14:textId="77777777" w:rsidR="00C94326" w:rsidRPr="00C94326" w:rsidRDefault="00C94326" w:rsidP="00C94326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  <w:bookmarkEnd w:id="0"/>
    </w:tbl>
    <w:p w14:paraId="3984A9D6" w14:textId="03640FD7" w:rsidR="00C94326" w:rsidRDefault="00C94326" w:rsidP="00C94326"/>
    <w:p w14:paraId="0E11A9A6" w14:textId="3673BB2B" w:rsidR="009C00F8" w:rsidRDefault="009C00F8" w:rsidP="004E297D">
      <w:r>
        <w:rPr>
          <w:noProof/>
        </w:rPr>
        <w:lastRenderedPageBreak/>
        <w:drawing>
          <wp:inline distT="0" distB="0" distL="0" distR="0" wp14:anchorId="002F3EE3" wp14:editId="34D2FA4C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C1ED" w14:textId="77777777" w:rsidR="009C00F8" w:rsidRDefault="009C00F8" w:rsidP="004E297D"/>
    <w:p w14:paraId="4D90FCDB" w14:textId="77777777" w:rsidR="009C00F8" w:rsidRDefault="009C00F8" w:rsidP="004E297D"/>
    <w:p w14:paraId="30C06B8C" w14:textId="21A18C52" w:rsidR="004E297D" w:rsidRDefault="004E297D" w:rsidP="004E297D">
      <w:r>
        <w:t xml:space="preserve">Юзаем вот это </w:t>
      </w:r>
      <w:hyperlink r:id="rId7" w:history="1">
        <w:r w:rsidRPr="00AB0567">
          <w:rPr>
            <w:rStyle w:val="aa"/>
          </w:rPr>
          <w:t>https://sankt-peterburg.prompor</w:t>
        </w:r>
        <w:r w:rsidRPr="00AB0567">
          <w:rPr>
            <w:rStyle w:val="aa"/>
          </w:rPr>
          <w:t>t</w:t>
        </w:r>
        <w:r w:rsidRPr="00AB0567">
          <w:rPr>
            <w:rStyle w:val="aa"/>
          </w:rPr>
          <w:t>al.su/goods/22456000/stanok-dlya-proizvodstva-bumazhnih-polotenec-v-slozheniya.htm</w:t>
        </w:r>
      </w:hyperlink>
      <w:r>
        <w:t xml:space="preserve"> </w:t>
      </w:r>
    </w:p>
    <w:p w14:paraId="22B9A2BD" w14:textId="77777777" w:rsidR="009C00F8" w:rsidRDefault="009C00F8">
      <w:pPr>
        <w:spacing w:after="200" w:line="276" w:lineRule="auto"/>
        <w:ind w:firstLine="0"/>
      </w:pPr>
      <w:r>
        <w:br w:type="page"/>
      </w:r>
    </w:p>
    <w:p w14:paraId="38C0DD2A" w14:textId="08BF01ED" w:rsidR="004E297D" w:rsidRDefault="004E297D" w:rsidP="004E297D">
      <w:r w:rsidRPr="004E297D">
        <w:lastRenderedPageBreak/>
        <w:t>ГОСТ Р 52354-2005</w:t>
      </w:r>
      <w:r>
        <w:t>, группа В</w:t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6744B6" w:rsidRPr="006744B6" w14:paraId="1722C648" w14:textId="77777777" w:rsidTr="009C00F8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4A9B0" w14:textId="77777777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bookmarkStart w:id="1" w:name="_Hlk86168105"/>
            <w:r w:rsidRPr="006744B6">
              <w:rPr>
                <w:rFonts w:eastAsia="TimesNewRomanPSMT"/>
                <w:sz w:val="24"/>
                <w:szCs w:val="24"/>
                <w:lang w:eastAsia="ru-RU"/>
              </w:rPr>
              <w:t>Функция или функциональные характеристики</w:t>
            </w:r>
          </w:p>
          <w:p w14:paraId="3E2E84A1" w14:textId="77777777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6744B6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2D71A" w14:textId="77777777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6744B6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6744B6" w:rsidRPr="006744B6" w14:paraId="0EC6F397" w14:textId="77777777" w:rsidTr="009C00F8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D76B9" w14:textId="77777777" w:rsidR="006744B6" w:rsidRPr="006744B6" w:rsidRDefault="006744B6" w:rsidP="006744B6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1606463" w14:textId="3FFD7963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9F7E0E3" w14:textId="54833F07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57B43C6" w14:textId="55729A95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4E3EA08" w14:textId="17E86D7F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6960C58" w14:textId="74A4E5CE" w:rsidR="006744B6" w:rsidRPr="006744B6" w:rsidRDefault="005A5609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5648B32" w14:textId="65F019EA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D3CE77D" w14:textId="13ECE8C4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48976A9" w14:textId="66C7B3A2" w:rsidR="006744B6" w:rsidRPr="006744B6" w:rsidRDefault="005A5609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899F979" w14:textId="3A043F18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6048D1E" w14:textId="078D5835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A6A2F9" w14:textId="67FD92B5" w:rsidR="006744B6" w:rsidRPr="006744B6" w:rsidRDefault="006744B6" w:rsidP="006744B6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6744B6" w:rsidRPr="006744B6" w14:paraId="6B75877C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BA620" w14:textId="7FFB003B" w:rsidR="006744B6" w:rsidRPr="003D3972" w:rsidRDefault="003D3972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3D3972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CAED" w14:textId="4E4139F2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5D3DE" w14:textId="65636A3E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DD512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4032E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EE47" w14:textId="3758D155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3E937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D180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FF243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0195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73B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805DC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9C00F8" w:rsidRPr="006744B6" w14:paraId="5A76F21B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5B29" w14:textId="5B75F829" w:rsidR="009C00F8" w:rsidRPr="003D3972" w:rsidRDefault="009C00F8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41BD" w14:textId="57BE1B61" w:rsidR="009C00F8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29D4A" w14:textId="69954540" w:rsidR="009C00F8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9117A" w14:textId="77777777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036E2" w14:textId="332D33F4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5378" w14:textId="77777777" w:rsid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CFFFD" w14:textId="2E1EAB10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89DA" w14:textId="6815F9D7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658DE" w14:textId="682ED7B4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C3355" w14:textId="77777777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A394C" w14:textId="77777777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4BDED" w14:textId="77777777" w:rsidR="009C00F8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6744B6" w:rsidRPr="006744B6" w14:paraId="0695A7B6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B9397" w14:textId="3EE3E8A1" w:rsidR="006744B6" w:rsidRPr="003D3972" w:rsidRDefault="003D3972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BEEF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E7757" w14:textId="486030CB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53E5E" w14:textId="049930B4" w:rsidR="006744B6" w:rsidRPr="009C00F8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6619B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B5FC2" w14:textId="51F92D84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57769" w14:textId="35F3D675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2BA21" w14:textId="5F540940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B6CA9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48614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8A2AE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5B8F6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6744B6" w:rsidRPr="006744B6" w14:paraId="2F5C6FD9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FABA3" w14:textId="26CE1399" w:rsidR="006744B6" w:rsidRPr="003D3972" w:rsidRDefault="00CF3139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860BC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3E1F2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A5A2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1EB7B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86EE" w14:textId="03EE19A6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C299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514A6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E903" w14:textId="605AA7E1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90796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4C3C3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6C124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6744B6" w:rsidRPr="006744B6" w14:paraId="3D435A6F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BB5A5" w14:textId="094DCCE3" w:rsidR="006744B6" w:rsidRPr="007E3AA2" w:rsidRDefault="00CF3139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43E4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6F521" w14:textId="10E753E2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AEDB" w14:textId="1589C338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66A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6F10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8AA2" w14:textId="61130512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A502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BAB2" w14:textId="31B6798D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0B51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F54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E3A67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6744B6" w:rsidRPr="006744B6" w14:paraId="26E7B92D" w14:textId="77777777" w:rsidTr="009C00F8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2612" w14:textId="06FDEB63" w:rsidR="006744B6" w:rsidRPr="003D3972" w:rsidRDefault="00CF3139" w:rsidP="006744B6">
            <w:pPr>
              <w:suppressAutoHyphens/>
              <w:spacing w:line="240" w:lineRule="auto"/>
              <w:ind w:firstLine="0"/>
              <w:jc w:val="both"/>
              <w:rPr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  <w:lang w:eastAsia="ru-RU"/>
              </w:rPr>
              <w:t>Прочность</w:t>
            </w:r>
            <w:r w:rsidR="007E3AA2">
              <w:rPr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E60E5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21A8" w14:textId="4061F349" w:rsidR="006744B6" w:rsidRPr="009C00F8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01C86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0923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24FFF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399AB" w14:textId="1E8E8A2F" w:rsidR="006744B6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F927" w14:textId="5D57F00F" w:rsidR="006744B6" w:rsidRPr="003D3972" w:rsidRDefault="009C00F8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54AAD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E8BEB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A6B45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190C" w14:textId="77777777" w:rsidR="006744B6" w:rsidRPr="003D3972" w:rsidRDefault="006744B6" w:rsidP="006744B6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bookmarkEnd w:id="1"/>
    </w:tbl>
    <w:p w14:paraId="23208914" w14:textId="0AE9A927" w:rsidR="00DC646F" w:rsidRDefault="00DC646F" w:rsidP="004E297D"/>
    <w:p w14:paraId="410AFC2F" w14:textId="49A3EDD7" w:rsidR="003E1C99" w:rsidRDefault="003E1C99" w:rsidP="003E1C99">
      <w:pPr>
        <w:pStyle w:val="2"/>
      </w:pPr>
      <w:r>
        <w:t>Измерение характеристик качества</w:t>
      </w:r>
    </w:p>
    <w:p w14:paraId="30E81AD6" w14:textId="7E8BFDDB" w:rsidR="003E1C99" w:rsidRPr="003E1C99" w:rsidRDefault="003E1C99" w:rsidP="003E1C99">
      <w:pPr>
        <w:pStyle w:val="3"/>
      </w:pPr>
      <w:bookmarkStart w:id="2" w:name="_Hlk86168270"/>
      <w:r>
        <w:t>Определение капиллярной впитываемости</w:t>
      </w:r>
      <w:bookmarkEnd w:id="2"/>
      <w:r>
        <w:t xml:space="preserve">. </w:t>
      </w:r>
      <w:r w:rsidRPr="003E1C99">
        <w:t>ГОСТ 12602-93</w:t>
      </w:r>
    </w:p>
    <w:p w14:paraId="28C318DE" w14:textId="11EDD1F0" w:rsidR="003E1C99" w:rsidRDefault="003E1C99" w:rsidP="003E1C99">
      <w:pPr>
        <w:pStyle w:val="4"/>
      </w:pPr>
      <w:bookmarkStart w:id="3" w:name="_Hlk86168278"/>
      <w:r>
        <w:t>Оснащение</w:t>
      </w:r>
    </w:p>
    <w:p w14:paraId="2C20E518" w14:textId="4127221B" w:rsidR="003E1C99" w:rsidRDefault="003E1C99" w:rsidP="003E1C99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501A1EA" w14:textId="0CFF81E7" w:rsidR="003E1C99" w:rsidRDefault="003E1C99" w:rsidP="003E1C99">
      <w:r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282718E" w14:textId="15543F93" w:rsidR="003E1C99" w:rsidRDefault="003E1C99" w:rsidP="003E1C99">
      <w:r>
        <w:t xml:space="preserve">3. Устройство для определения капиллярной впитываемости, обеспечивающее начало отсчета от поверхности воды. Этим устройством </w:t>
      </w:r>
      <w:r>
        <w:lastRenderedPageBreak/>
        <w:t>может быть катетометр или масштабная линейка, закрепленные или не закрепленные на приспособлении.</w:t>
      </w:r>
    </w:p>
    <w:p w14:paraId="714B40EE" w14:textId="2B1B9298" w:rsidR="003E1C99" w:rsidRDefault="003E1C99" w:rsidP="003E1C99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F06DD53" w14:textId="5BD39015" w:rsidR="003E1C99" w:rsidRDefault="003E1C99" w:rsidP="003E1C99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20044513" w14:textId="4EAF7427" w:rsidR="003E1C99" w:rsidRPr="003E1C99" w:rsidRDefault="003E1C99" w:rsidP="003E1C99">
      <w:r>
        <w:t>6. Карандаш нестираемый.</w:t>
      </w:r>
    </w:p>
    <w:p w14:paraId="69CFE693" w14:textId="580BED03" w:rsidR="003E1C99" w:rsidRDefault="003E1C99" w:rsidP="003E1C99">
      <w:pPr>
        <w:pStyle w:val="4"/>
      </w:pPr>
      <w:bookmarkStart w:id="4" w:name="_Hlk86168291"/>
      <w:bookmarkEnd w:id="3"/>
      <w:r>
        <w:t>Порядок действий</w:t>
      </w:r>
    </w:p>
    <w:p w14:paraId="36DBE358" w14:textId="7AA27DEE" w:rsidR="003E1C99" w:rsidRDefault="003E1C99" w:rsidP="003E1C99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2CAD7DBD" w14:textId="439DF951" w:rsidR="003E1C99" w:rsidRDefault="003E1C99" w:rsidP="003E1C99">
      <w:r>
        <w:t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Приспособление с образцами опускают в ванночку до совпадения меток с уровнем воды и одновременно включают секундомер.</w:t>
      </w:r>
    </w:p>
    <w:p w14:paraId="16BD7C2D" w14:textId="1E727111" w:rsidR="003E1C99" w:rsidRDefault="003E1C99" w:rsidP="003E1C99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7E518CE1" w14:textId="7B0F4C9F" w:rsidR="003E1C99" w:rsidRDefault="003E1C99" w:rsidP="003E1C99">
      <w:r>
        <w:t>При применении линейки, прикрепленной к приспособлению для зажима испытуемых образцов, перед началом испытания образцы закрепляют так, 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19969F55" w14:textId="27686E72" w:rsidR="003E1C99" w:rsidRDefault="003E1C99" w:rsidP="003E1C99">
      <w:r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426B42A4" w14:textId="6C61DA03" w:rsidR="003E1C99" w:rsidRDefault="003E1C99" w:rsidP="003E1C99">
      <w:r>
        <w:lastRenderedPageBreak/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00F593B0" w14:textId="7FA867C9" w:rsidR="003E1C99" w:rsidRDefault="003E1C99" w:rsidP="003E1C99">
      <w:r>
        <w:t xml:space="preserve">В конце 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ычисляют среднее значение из 10 определений для каждого направления с точностью до 1 мм.</w:t>
      </w:r>
      <w:bookmarkEnd w:id="4"/>
    </w:p>
    <w:p w14:paraId="5C907271" w14:textId="77777777" w:rsidR="003E1C99" w:rsidRPr="003E1C99" w:rsidRDefault="003E1C99" w:rsidP="003E1C99"/>
    <w:p w14:paraId="09B65EF2" w14:textId="77777777" w:rsidR="003E1C99" w:rsidRPr="004E297D" w:rsidRDefault="003E1C99" w:rsidP="004E297D"/>
    <w:sectPr w:rsidR="003E1C99" w:rsidRPr="004E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146E34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71D6E"/>
    <w:rsid w:val="00272509"/>
    <w:rsid w:val="00286F50"/>
    <w:rsid w:val="002C733B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D3972"/>
    <w:rsid w:val="003E1C99"/>
    <w:rsid w:val="003F4690"/>
    <w:rsid w:val="00412695"/>
    <w:rsid w:val="00416D9B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4E297D"/>
    <w:rsid w:val="005115DC"/>
    <w:rsid w:val="0052195E"/>
    <w:rsid w:val="00552D69"/>
    <w:rsid w:val="005556E6"/>
    <w:rsid w:val="005573D3"/>
    <w:rsid w:val="00590F65"/>
    <w:rsid w:val="00597DFC"/>
    <w:rsid w:val="005A52DA"/>
    <w:rsid w:val="005A5609"/>
    <w:rsid w:val="005C6718"/>
    <w:rsid w:val="006074CC"/>
    <w:rsid w:val="00611766"/>
    <w:rsid w:val="006443B6"/>
    <w:rsid w:val="006461FB"/>
    <w:rsid w:val="00660073"/>
    <w:rsid w:val="006744B6"/>
    <w:rsid w:val="006809BE"/>
    <w:rsid w:val="00683F8B"/>
    <w:rsid w:val="006D2A97"/>
    <w:rsid w:val="006F2439"/>
    <w:rsid w:val="006F72E4"/>
    <w:rsid w:val="00750826"/>
    <w:rsid w:val="00755ED4"/>
    <w:rsid w:val="00785637"/>
    <w:rsid w:val="007957B6"/>
    <w:rsid w:val="007D4FA9"/>
    <w:rsid w:val="007E3AA2"/>
    <w:rsid w:val="007F21AB"/>
    <w:rsid w:val="007F7B3A"/>
    <w:rsid w:val="0080669B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64C5E"/>
    <w:rsid w:val="009A147B"/>
    <w:rsid w:val="009C00F8"/>
    <w:rsid w:val="009D05BE"/>
    <w:rsid w:val="009D7F24"/>
    <w:rsid w:val="009E1452"/>
    <w:rsid w:val="009F14CE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5D34"/>
    <w:rsid w:val="00AA7800"/>
    <w:rsid w:val="00AB7712"/>
    <w:rsid w:val="00AE0B56"/>
    <w:rsid w:val="00AE3392"/>
    <w:rsid w:val="00AE5574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12354"/>
    <w:rsid w:val="00C1671A"/>
    <w:rsid w:val="00C25206"/>
    <w:rsid w:val="00C31134"/>
    <w:rsid w:val="00C3573A"/>
    <w:rsid w:val="00C60A6A"/>
    <w:rsid w:val="00C774E9"/>
    <w:rsid w:val="00C80F91"/>
    <w:rsid w:val="00C94326"/>
    <w:rsid w:val="00CD03F9"/>
    <w:rsid w:val="00CD1B98"/>
    <w:rsid w:val="00CE1891"/>
    <w:rsid w:val="00CE41DC"/>
    <w:rsid w:val="00CE5FD6"/>
    <w:rsid w:val="00CE6E50"/>
    <w:rsid w:val="00CF3139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B4FB4"/>
    <w:rsid w:val="00DC20E2"/>
    <w:rsid w:val="00DC646F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62B2B"/>
    <w:rsid w:val="00F6368B"/>
    <w:rsid w:val="00F66E73"/>
    <w:rsid w:val="00F82656"/>
    <w:rsid w:val="00F82A59"/>
    <w:rsid w:val="00F90A1A"/>
    <w:rsid w:val="00F9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DACC"/>
  <w15:docId w15:val="{51999C57-DA0F-4D8C-96F4-FC218D3E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table" w:customStyle="1" w:styleId="11">
    <w:name w:val="Сетка таблицы1"/>
    <w:basedOn w:val="a1"/>
    <w:next w:val="a7"/>
    <w:uiPriority w:val="59"/>
    <w:rsid w:val="00C943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Unresolved Mention"/>
    <w:basedOn w:val="a0"/>
    <w:uiPriority w:val="99"/>
    <w:semiHidden/>
    <w:unhideWhenUsed/>
    <w:rsid w:val="004E297D"/>
    <w:rPr>
      <w:color w:val="605E5C"/>
      <w:shd w:val="clear" w:color="auto" w:fill="E1DFDD"/>
    </w:rPr>
  </w:style>
  <w:style w:type="table" w:customStyle="1" w:styleId="21">
    <w:name w:val="Сетка таблицы2"/>
    <w:basedOn w:val="a1"/>
    <w:next w:val="a7"/>
    <w:uiPriority w:val="59"/>
    <w:rsid w:val="006744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FollowedHyperlink"/>
    <w:basedOn w:val="a0"/>
    <w:uiPriority w:val="99"/>
    <w:semiHidden/>
    <w:unhideWhenUsed/>
    <w:rsid w:val="003E1C99"/>
    <w:rPr>
      <w:color w:val="800080" w:themeColor="followedHyperlink"/>
      <w:u w:val="single"/>
    </w:rPr>
  </w:style>
  <w:style w:type="paragraph" w:customStyle="1" w:styleId="formattext">
    <w:name w:val="formattext"/>
    <w:basedOn w:val="a"/>
    <w:rsid w:val="003E1C99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kt-peterburg.promportal.su/goods/22456000/stanok-dlya-proizvodstva-bumazhnih-polotenec-v-slozheniya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9417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30</cp:revision>
  <cp:lastPrinted>2021-07-16T08:03:00Z</cp:lastPrinted>
  <dcterms:created xsi:type="dcterms:W3CDTF">2020-02-14T19:29:00Z</dcterms:created>
  <dcterms:modified xsi:type="dcterms:W3CDTF">2021-10-26T16:30:00Z</dcterms:modified>
</cp:coreProperties>
</file>