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7D3F" w14:textId="19702CD6" w:rsidR="009C5644" w:rsidRDefault="009C5644">
      <w:r>
        <w:t>Van Gend en Loos Case (1963): Established the principle of direct effect, allowing EU law to confer rights on individuals which they can enforce in their national courts</w:t>
      </w:r>
    </w:p>
    <w:p w14:paraId="2AF75F19" w14:textId="77777777" w:rsidR="009C5644" w:rsidRDefault="009C5644"/>
    <w:p w14:paraId="5FCC205D" w14:textId="7F74D332" w:rsidR="009C5644" w:rsidRDefault="009C5644">
      <w:r w:rsidRPr="009C5644">
        <w:t xml:space="preserve">Faccini Dori Case (1994): </w:t>
      </w:r>
      <w:r>
        <w:t>A</w:t>
      </w:r>
      <w:r w:rsidRPr="009C5644">
        <w:t xml:space="preserve">n important ruling by the European Court of Justice (ECJ) regarding the direct effect of directives </w:t>
      </w:r>
      <w:r w:rsidR="00540E7D" w:rsidRPr="009C5644">
        <w:t>on</w:t>
      </w:r>
      <w:r w:rsidRPr="009C5644">
        <w:t xml:space="preserve"> horizontal relationships (i.e., relationships between individuals or private parties). This case clarified that while directives are binding on Member States, they are not directly enforceable by individuals against other individuals unless they have been transposed into national law.</w:t>
      </w:r>
    </w:p>
    <w:p w14:paraId="3C668516" w14:textId="77777777" w:rsidR="009C5644" w:rsidRDefault="009C5644"/>
    <w:p w14:paraId="7B3A8160" w14:textId="3FD733FA" w:rsidR="009C5644" w:rsidRDefault="009C5644">
      <w:r w:rsidRPr="009C5644">
        <w:t xml:space="preserve">Costa v. Enel case (1964): </w:t>
      </w:r>
      <w:r>
        <w:t>W</w:t>
      </w:r>
      <w:r w:rsidRPr="009C5644">
        <w:t>here the ECJ ruled that EU legislative acts override national laws, ensuring uniform application across Member States.</w:t>
      </w:r>
    </w:p>
    <w:p w14:paraId="3299B6C7" w14:textId="77777777" w:rsidR="009C5644" w:rsidRDefault="009C5644"/>
    <w:p w14:paraId="111D4D41" w14:textId="3DF1DFC1" w:rsidR="009C5644" w:rsidRDefault="009C5644">
      <w:r w:rsidRPr="009C5644">
        <w:t xml:space="preserve">Simmenthal case (1978): </w:t>
      </w:r>
      <w:r>
        <w:t>F</w:t>
      </w:r>
      <w:r w:rsidRPr="009C5644">
        <w:t>urther reinforced this by stating that every national court must stop applying national legislation that conflicts with EU law, without waiting for a ruling of unconstitutionality from the national constitutional court.</w:t>
      </w:r>
    </w:p>
    <w:p w14:paraId="4AF4B03E" w14:textId="77777777" w:rsidR="009C5644" w:rsidRDefault="009C5644"/>
    <w:p w14:paraId="112A2BF8" w14:textId="0321B21A" w:rsidR="009C5644" w:rsidRDefault="009C5644">
      <w:r>
        <w:t xml:space="preserve">Dwarf Tossing Case (Situation): </w:t>
      </w:r>
      <w:r w:rsidRPr="009C5644">
        <w:t>Dwarf-tossing involves individuals with dwarfism being thrown for sport, which led to a legal dispute when a French town's mayor banned the activity. Participants challenged the ban, arguing it infringed on their right to earn income.</w:t>
      </w:r>
    </w:p>
    <w:p w14:paraId="126A6FEA" w14:textId="77777777" w:rsidR="009C5644" w:rsidRDefault="009C5644"/>
    <w:p w14:paraId="203E94D1" w14:textId="3EBA51C2" w:rsidR="005B3923" w:rsidRDefault="009C5644">
      <w:r>
        <w:t>Dwarf Tossing Case (</w:t>
      </w:r>
      <w:r>
        <w:t>Legal Resolution</w:t>
      </w:r>
      <w:r>
        <w:t>)</w:t>
      </w:r>
      <w:r>
        <w:t xml:space="preserve">: </w:t>
      </w:r>
      <w:r w:rsidR="00EC6502" w:rsidRPr="00EC6502">
        <w:t>The French Supreme Administrative Court upheld the ban, ruling that dwarf-tossing could be prohibited to protect human dignity and public order. The United Nations Human Rights Committee also supported the ban, emphasizing that it maintained public order and upheld human dignity without being discriminatory.</w:t>
      </w:r>
    </w:p>
    <w:p w14:paraId="73CB1FC0" w14:textId="77777777" w:rsidR="005B3923" w:rsidRDefault="005B3923"/>
    <w:p w14:paraId="297F7872" w14:textId="6E055186" w:rsidR="009C5644" w:rsidRDefault="005B3923">
      <w:r w:rsidRPr="005B3923">
        <w:t>North Carolina case of Lenoir v. Sylvester</w:t>
      </w:r>
      <w:r>
        <w:t xml:space="preserve"> (1830): S</w:t>
      </w:r>
      <w:r w:rsidRPr="005B3923">
        <w:t>laves were not recognized as natural persons with legal personhood. They could not own property or accept gifts, as anything a slave acquired would automatically belong to their master, reinforcing their status as property rather than persons with rights</w:t>
      </w:r>
    </w:p>
    <w:p w14:paraId="1ADC2B4D" w14:textId="77777777" w:rsidR="009C5644" w:rsidRDefault="009C5644"/>
    <w:p w14:paraId="5951369D" w14:textId="75AF8E5A" w:rsidR="00C10AE1" w:rsidRDefault="00540E7D">
      <w:r w:rsidRPr="009C5644">
        <w:t>Investors Compensation Scheme Ltd v</w:t>
      </w:r>
      <w:r>
        <w:t>.</w:t>
      </w:r>
      <w:r w:rsidRPr="009C5644">
        <w:t xml:space="preserve"> West Bromwich Building Society</w:t>
      </w:r>
      <w:r w:rsidRPr="009C5644">
        <w:t xml:space="preserve"> </w:t>
      </w:r>
      <w:r w:rsidR="009C5644" w:rsidRPr="009C5644">
        <w:t>Lord</w:t>
      </w:r>
      <w:r>
        <w:t xml:space="preserve"> </w:t>
      </w:r>
      <w:r>
        <w:t>(Case Reference):</w:t>
      </w:r>
      <w:r>
        <w:t xml:space="preserve"> </w:t>
      </w:r>
      <w:r w:rsidR="009C5644" w:rsidRPr="009C5644">
        <w:t xml:space="preserve"> Hoffmann’s View</w:t>
      </w:r>
      <w:r w:rsidR="009C5644">
        <w:t xml:space="preserve"> </w:t>
      </w:r>
    </w:p>
    <w:p w14:paraId="209FE690" w14:textId="6AF4FDB1" w:rsidR="009C5644" w:rsidRDefault="00540E7D">
      <w:r w:rsidRPr="009C5644">
        <w:t>Investors Compensation Scheme Ltd v</w:t>
      </w:r>
      <w:r>
        <w:t>.</w:t>
      </w:r>
      <w:r w:rsidRPr="009C5644">
        <w:t xml:space="preserve"> West Bromwich Building Society Lord</w:t>
      </w:r>
      <w:r>
        <w:t xml:space="preserve"> (</w:t>
      </w:r>
      <w:r w:rsidR="009C5644" w:rsidRPr="009C5644">
        <w:t>Principle</w:t>
      </w:r>
      <w:r>
        <w:t>)</w:t>
      </w:r>
      <w:r w:rsidR="009C5644" w:rsidRPr="009C5644">
        <w:t>: The meaning of a contract should be what the document would convey to a reasonable person who has all the background knowledge that would have been available to the parties.</w:t>
      </w:r>
    </w:p>
    <w:p w14:paraId="75C8CD67" w14:textId="53B557D3" w:rsidR="009C5644" w:rsidRDefault="00540E7D">
      <w:r w:rsidRPr="009C5644">
        <w:t>Investors Compensation Scheme Ltd v</w:t>
      </w:r>
      <w:r>
        <w:t>.</w:t>
      </w:r>
      <w:r w:rsidRPr="009C5644">
        <w:t xml:space="preserve"> West Bromwich Building Society Lord</w:t>
      </w:r>
      <w:r>
        <w:t xml:space="preserve"> (</w:t>
      </w:r>
      <w:r w:rsidR="009C5644" w:rsidRPr="009C5644">
        <w:t>Impact</w:t>
      </w:r>
      <w:r>
        <w:t>)</w:t>
      </w:r>
      <w:r w:rsidR="009C5644" w:rsidRPr="009C5644">
        <w:t>: This emphasizes understanding the contract in its factual context, moving slightly away from strictly literal interpretations.</w:t>
      </w:r>
    </w:p>
    <w:p w14:paraId="71B80AC8" w14:textId="77777777" w:rsidR="009C5644" w:rsidRDefault="009C5644"/>
    <w:p w14:paraId="77BB4FD7" w14:textId="77777777" w:rsidR="009C5644" w:rsidRDefault="009C5644"/>
    <w:p w14:paraId="2734B414" w14:textId="4A1B42E4" w:rsidR="009C5644" w:rsidRDefault="009C5644">
      <w:r w:rsidRPr="009C5644">
        <w:t>Wood v Capita Insurance Services Ltd</w:t>
      </w:r>
      <w:r w:rsidR="00540E7D">
        <w:t xml:space="preserve"> (Case Reference): </w:t>
      </w:r>
      <w:r w:rsidR="00540E7D" w:rsidRPr="009C5644">
        <w:t>Lord Hodge’s View</w:t>
      </w:r>
    </w:p>
    <w:p w14:paraId="3177A793" w14:textId="61CC0EDB" w:rsidR="005B3923" w:rsidRDefault="005B3923">
      <w:r w:rsidRPr="005B3923">
        <w:t>Wood v Capita Insurance</w:t>
      </w:r>
      <w:r>
        <w:t xml:space="preserve"> </w:t>
      </w:r>
      <w:r w:rsidR="00540E7D">
        <w:t xml:space="preserve">Services Ltd </w:t>
      </w:r>
      <w:r>
        <w:t>(</w:t>
      </w:r>
      <w:r w:rsidRPr="005B3923">
        <w:t>Background</w:t>
      </w:r>
      <w:r>
        <w:t>)</w:t>
      </w:r>
      <w:r w:rsidRPr="005B3923">
        <w:t>: Capita Insurance bought a company called Sureterm and later found out Sureterm had been misleading customers. They focused on an indemnity clause—a part of the contract that deals with covering losses from specific issues</w:t>
      </w:r>
    </w:p>
    <w:p w14:paraId="07B39014" w14:textId="5C05934B" w:rsidR="005B3923" w:rsidRDefault="00540E7D">
      <w:r w:rsidRPr="005B3923">
        <w:t>Wood v Capita Insurance</w:t>
      </w:r>
      <w:r>
        <w:t xml:space="preserve"> Services Ltd </w:t>
      </w:r>
      <w:r w:rsidR="005B3923">
        <w:t>(</w:t>
      </w:r>
      <w:r w:rsidR="005B3923" w:rsidRPr="005B3923">
        <w:t>Indemnity Clause Issue</w:t>
      </w:r>
      <w:r w:rsidR="005B3923">
        <w:t>)</w:t>
      </w:r>
      <w:r w:rsidR="005B3923" w:rsidRPr="005B3923">
        <w:t>: The main question was whether this clause should cover all the mis-selling problems found after buying the company, even though there weren't any formal complaints made to the authorities about these issues</w:t>
      </w:r>
    </w:p>
    <w:p w14:paraId="4B0B2A55" w14:textId="1097E9E0" w:rsidR="005B3923" w:rsidRDefault="00540E7D">
      <w:r w:rsidRPr="005B3923">
        <w:t>Wood v Capita Insurance</w:t>
      </w:r>
      <w:r>
        <w:t xml:space="preserve"> Services Ltd </w:t>
      </w:r>
      <w:r w:rsidR="005B3923">
        <w:t>(</w:t>
      </w:r>
      <w:r w:rsidR="005B3923" w:rsidRPr="005B3923">
        <w:t>Court’s Decision</w:t>
      </w:r>
      <w:r w:rsidR="005B3923">
        <w:t>)</w:t>
      </w:r>
      <w:r w:rsidR="005B3923" w:rsidRPr="005B3923">
        <w:t>: the court looked closely at the exact words of the indemnity clause and decided it only covered issues that had been officially complained about to authorities like the Financial Services Authority (FSA), not all potential issues found later. This shows how important the actual words in a contract are when deciding what it means</w:t>
      </w:r>
    </w:p>
    <w:p w14:paraId="631349AE" w14:textId="5F33D84C" w:rsidR="00540E7D" w:rsidRDefault="00540E7D">
      <w:r w:rsidRPr="005B3923">
        <w:t>Wood v Capita Insurance</w:t>
      </w:r>
      <w:r>
        <w:t xml:space="preserve"> Services Ltd (</w:t>
      </w:r>
      <w:r w:rsidR="005B3923" w:rsidRPr="005B3923">
        <w:t>General Principles of Interpretation Applied</w:t>
      </w:r>
      <w:r>
        <w:t>) (</w:t>
      </w:r>
      <w:r w:rsidR="005B3923" w:rsidRPr="005B3923">
        <w:t>Textualism</w:t>
      </w:r>
      <w:r>
        <w:t>)</w:t>
      </w:r>
      <w:r w:rsidR="005B3923" w:rsidRPr="005B3923">
        <w:t>: In this case, textualism was important because the court focused on the specific wording of the contract to make their decision. This method helps keep things clear and predictable by sticking closely to the written words</w:t>
      </w:r>
    </w:p>
    <w:p w14:paraId="6D116CC8" w14:textId="3A604BDD" w:rsidR="009C5644" w:rsidRDefault="00540E7D">
      <w:r w:rsidRPr="005B3923">
        <w:t>Wood v Capita Insurance</w:t>
      </w:r>
      <w:r>
        <w:t xml:space="preserve"> Services Ltd (</w:t>
      </w:r>
      <w:r w:rsidRPr="005B3923">
        <w:t>General Principles of Interpretation Applied</w:t>
      </w:r>
      <w:r>
        <w:t>) (</w:t>
      </w:r>
      <w:r>
        <w:t>Cont</w:t>
      </w:r>
      <w:r w:rsidRPr="005B3923">
        <w:t>extualism</w:t>
      </w:r>
      <w:r>
        <w:t>)</w:t>
      </w:r>
      <w:r w:rsidRPr="005B3923">
        <w:t>:</w:t>
      </w:r>
      <w:r w:rsidR="005B3923" w:rsidRPr="005B3923">
        <w:t xml:space="preserve"> This method wasn't as influential in this case but generally involves looking at the broader situation around a contract to make sure the interpretation fits with the overall purpose and business reality.</w:t>
      </w:r>
    </w:p>
    <w:p w14:paraId="4980A5E3" w14:textId="77777777" w:rsidR="00540E7D" w:rsidRDefault="00540E7D"/>
    <w:p w14:paraId="3087ED2E" w14:textId="5B15532A" w:rsidR="009C5644" w:rsidRDefault="00540E7D">
      <w:r w:rsidRPr="009C5644">
        <w:t>Antaios v Salen Rederierna A.B.</w:t>
      </w:r>
      <w:r>
        <w:t xml:space="preserve">(Case Reference): </w:t>
      </w:r>
      <w:r w:rsidR="009C5644" w:rsidRPr="009C5644">
        <w:t>Lord Diplock’s View</w:t>
      </w:r>
    </w:p>
    <w:p w14:paraId="26E586A5" w14:textId="1350FCCB" w:rsidR="009C5644" w:rsidRDefault="00540E7D">
      <w:r w:rsidRPr="009C5644">
        <w:t>Antaios v Salen Rederierna A.B.</w:t>
      </w:r>
      <w:r>
        <w:t>(</w:t>
      </w:r>
      <w:r w:rsidR="009C5644" w:rsidRPr="009C5644">
        <w:t>Principle</w:t>
      </w:r>
      <w:r>
        <w:t>)</w:t>
      </w:r>
      <w:r w:rsidR="009C5644" w:rsidRPr="009C5644">
        <w:t xml:space="preserve">: If a literal interpretation of the words flouts business commonsense, it must yield to business commonsense. </w:t>
      </w:r>
    </w:p>
    <w:p w14:paraId="7BF71BCD" w14:textId="17725478" w:rsidR="009C5644" w:rsidRDefault="00540E7D">
      <w:r w:rsidRPr="009C5644">
        <w:t>Antaios v Salen Rederierna A.B.</w:t>
      </w:r>
      <w:r>
        <w:t>(</w:t>
      </w:r>
      <w:r w:rsidR="009C5644" w:rsidRPr="009C5644">
        <w:t>Impact</w:t>
      </w:r>
      <w:r>
        <w:t>)</w:t>
      </w:r>
      <w:r w:rsidR="009C5644" w:rsidRPr="009C5644">
        <w:t>: This introduces a practical perspective, suggesting that where literal interpretations are absurd, the contract should be interpreted in a way that makes sense from a business standpoint.</w:t>
      </w:r>
    </w:p>
    <w:p w14:paraId="67342414" w14:textId="77777777" w:rsidR="009C5644" w:rsidRDefault="009C5644"/>
    <w:p w14:paraId="294AA6DA" w14:textId="54B1D78E" w:rsidR="009C5644" w:rsidRDefault="00540E7D">
      <w:r w:rsidRPr="009C5644">
        <w:t>Oates v Romano</w:t>
      </w:r>
      <w:r w:rsidRPr="009C5644">
        <w:t xml:space="preserve"> </w:t>
      </w:r>
      <w:r>
        <w:t>(</w:t>
      </w:r>
      <w:r w:rsidRPr="009C5644">
        <w:t>Case Reference</w:t>
      </w:r>
      <w:r>
        <w:t>)</w:t>
      </w:r>
      <w:r w:rsidRPr="009C5644">
        <w:t>:</w:t>
      </w:r>
      <w:r>
        <w:t xml:space="preserve"> </w:t>
      </w:r>
      <w:r w:rsidR="009C5644" w:rsidRPr="009C5644">
        <w:t>Extrinsic Evidence</w:t>
      </w:r>
      <w:r w:rsidR="009C5644">
        <w:t xml:space="preserve"> </w:t>
      </w:r>
    </w:p>
    <w:p w14:paraId="6C532ACB" w14:textId="3784F74A" w:rsidR="009C5644" w:rsidRDefault="00540E7D">
      <w:r w:rsidRPr="009C5644">
        <w:t xml:space="preserve">Oates v Romano </w:t>
      </w:r>
      <w:r>
        <w:t>(</w:t>
      </w:r>
      <w:r w:rsidR="009C5644" w:rsidRPr="009C5644">
        <w:t>Principle</w:t>
      </w:r>
      <w:r>
        <w:t>)</w:t>
      </w:r>
      <w:r w:rsidR="009C5644" w:rsidRPr="009C5644">
        <w:t xml:space="preserve">: If the contract's words are clear, extrinsic evidence (information outside the contract) shouldn't alter their meaning. If words are ambiguous, then the context can be considered to clarify. </w:t>
      </w:r>
    </w:p>
    <w:p w14:paraId="3191DCAC" w14:textId="1B6652C3" w:rsidR="009C5644" w:rsidRDefault="00540E7D">
      <w:r w:rsidRPr="009C5644">
        <w:t xml:space="preserve">Oates v Romano </w:t>
      </w:r>
      <w:r>
        <w:t>(</w:t>
      </w:r>
      <w:r w:rsidR="009C5644" w:rsidRPr="009C5644">
        <w:t>Impact</w:t>
      </w:r>
      <w:r>
        <w:t>)</w:t>
      </w:r>
      <w:r w:rsidR="009C5644" w:rsidRPr="009C5644">
        <w:t>: Balances strict adherence to textual clarity with flexibility to interpret vague terms based on the broader circumstances.</w:t>
      </w:r>
    </w:p>
    <w:sectPr w:rsidR="009C5644" w:rsidSect="007C03C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98"/>
    <w:rsid w:val="000C74E7"/>
    <w:rsid w:val="00334288"/>
    <w:rsid w:val="00540E7D"/>
    <w:rsid w:val="005B3923"/>
    <w:rsid w:val="007C03C4"/>
    <w:rsid w:val="00880C98"/>
    <w:rsid w:val="009C5644"/>
    <w:rsid w:val="00C10AE1"/>
    <w:rsid w:val="00DA21CF"/>
    <w:rsid w:val="00EC65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8F28"/>
  <w15:chartTrackingRefBased/>
  <w15:docId w15:val="{8F49F099-FD7F-4AD5-96B7-777EE3C0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98"/>
    <w:rPr>
      <w:rFonts w:eastAsiaTheme="majorEastAsia" w:cstheme="majorBidi"/>
      <w:color w:val="272727" w:themeColor="text1" w:themeTint="D8"/>
    </w:rPr>
  </w:style>
  <w:style w:type="paragraph" w:styleId="Title">
    <w:name w:val="Title"/>
    <w:basedOn w:val="Normal"/>
    <w:next w:val="Normal"/>
    <w:link w:val="TitleChar"/>
    <w:uiPriority w:val="10"/>
    <w:qFormat/>
    <w:rsid w:val="00880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98"/>
    <w:pPr>
      <w:spacing w:before="160"/>
      <w:jc w:val="center"/>
    </w:pPr>
    <w:rPr>
      <w:i/>
      <w:iCs/>
      <w:color w:val="404040" w:themeColor="text1" w:themeTint="BF"/>
    </w:rPr>
  </w:style>
  <w:style w:type="character" w:customStyle="1" w:styleId="QuoteChar">
    <w:name w:val="Quote Char"/>
    <w:basedOn w:val="DefaultParagraphFont"/>
    <w:link w:val="Quote"/>
    <w:uiPriority w:val="29"/>
    <w:rsid w:val="00880C98"/>
    <w:rPr>
      <w:i/>
      <w:iCs/>
      <w:color w:val="404040" w:themeColor="text1" w:themeTint="BF"/>
    </w:rPr>
  </w:style>
  <w:style w:type="paragraph" w:styleId="ListParagraph">
    <w:name w:val="List Paragraph"/>
    <w:basedOn w:val="Normal"/>
    <w:uiPriority w:val="34"/>
    <w:qFormat/>
    <w:rsid w:val="00880C98"/>
    <w:pPr>
      <w:ind w:left="720"/>
      <w:contextualSpacing/>
    </w:pPr>
  </w:style>
  <w:style w:type="character" w:styleId="IntenseEmphasis">
    <w:name w:val="Intense Emphasis"/>
    <w:basedOn w:val="DefaultParagraphFont"/>
    <w:uiPriority w:val="21"/>
    <w:qFormat/>
    <w:rsid w:val="00880C98"/>
    <w:rPr>
      <w:i/>
      <w:iCs/>
      <w:color w:val="0F4761" w:themeColor="accent1" w:themeShade="BF"/>
    </w:rPr>
  </w:style>
  <w:style w:type="paragraph" w:styleId="IntenseQuote">
    <w:name w:val="Intense Quote"/>
    <w:basedOn w:val="Normal"/>
    <w:next w:val="Normal"/>
    <w:link w:val="IntenseQuoteChar"/>
    <w:uiPriority w:val="30"/>
    <w:qFormat/>
    <w:rsid w:val="00880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C98"/>
    <w:rPr>
      <w:i/>
      <w:iCs/>
      <w:color w:val="0F4761" w:themeColor="accent1" w:themeShade="BF"/>
    </w:rPr>
  </w:style>
  <w:style w:type="character" w:styleId="IntenseReference">
    <w:name w:val="Intense Reference"/>
    <w:basedOn w:val="DefaultParagraphFont"/>
    <w:uiPriority w:val="32"/>
    <w:qFormat/>
    <w:rsid w:val="00880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Andreev</dc:creator>
  <cp:keywords/>
  <dc:description/>
  <cp:lastModifiedBy>Pavel Andreev</cp:lastModifiedBy>
  <cp:revision>2</cp:revision>
  <dcterms:created xsi:type="dcterms:W3CDTF">2025-08-31T10:12:00Z</dcterms:created>
  <dcterms:modified xsi:type="dcterms:W3CDTF">2025-08-31T10:12:00Z</dcterms:modified>
</cp:coreProperties>
</file>