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03B9" w14:textId="77777777" w:rsidR="00DF3B06" w:rsidRDefault="00000000">
      <w:pPr>
        <w:pStyle w:val="Heading2"/>
      </w:pPr>
      <w:r>
        <w:t xml:space="preserve">Van Gend </w:t>
      </w:r>
      <w:proofErr w:type="spellStart"/>
      <w:r>
        <w:t>en</w:t>
      </w:r>
      <w:proofErr w:type="spellEnd"/>
      <w:r>
        <w:t xml:space="preserve"> Loos (1963)</w:t>
      </w:r>
    </w:p>
    <w:p w14:paraId="5E55C89E" w14:textId="77777777" w:rsidR="00DF3B06" w:rsidRDefault="00000000">
      <w:r>
        <w:t xml:space="preserve">Parties: Van Gend </w:t>
      </w:r>
      <w:proofErr w:type="spellStart"/>
      <w:r>
        <w:t>en</w:t>
      </w:r>
      <w:proofErr w:type="spellEnd"/>
      <w:r>
        <w:t xml:space="preserve"> Loos (importer) v. Dutch Customs Authorities</w:t>
      </w:r>
    </w:p>
    <w:p w14:paraId="1BFE2B58" w14:textId="77777777" w:rsidR="00DF3B06" w:rsidRDefault="00000000">
      <w:r>
        <w:t>Legal Issue: Can individuals enforce EU law rights directly in national courts?</w:t>
      </w:r>
    </w:p>
    <w:p w14:paraId="00D18F90" w14:textId="77777777" w:rsidR="00DF3B06" w:rsidRDefault="00000000">
      <w:r>
        <w:t>Principle: Established the doctrine of direct effect: EU law can create rights enforceable by individuals.</w:t>
      </w:r>
    </w:p>
    <w:p w14:paraId="027D2A75" w14:textId="77777777" w:rsidR="00DF3B06" w:rsidRDefault="00000000">
      <w:r>
        <w:t>Court Ruling: Yes, EU law grants rights directly to individuals enforceable before national courts.</w:t>
      </w:r>
    </w:p>
    <w:p w14:paraId="16D28540" w14:textId="77777777" w:rsidR="00DF3B06" w:rsidRDefault="00000000">
      <w:r>
        <w:t>Impact: Foundation of EU law supremacy and individual rights protection.</w:t>
      </w:r>
    </w:p>
    <w:p w14:paraId="254EB6D0" w14:textId="77777777" w:rsidR="00DF3B06" w:rsidRDefault="00000000">
      <w:pPr>
        <w:pStyle w:val="Heading2"/>
      </w:pPr>
      <w:r>
        <w:t>Faccini Dori (1994)</w:t>
      </w:r>
    </w:p>
    <w:p w14:paraId="57C80A7D" w14:textId="77777777" w:rsidR="00DF3B06" w:rsidRDefault="00000000">
      <w:r>
        <w:t>Parties: Paola Faccini Dori v. Recreb Srl</w:t>
      </w:r>
    </w:p>
    <w:p w14:paraId="30473318" w14:textId="77777777" w:rsidR="00DF3B06" w:rsidRDefault="00000000">
      <w:r>
        <w:t>Legal Issue: Can directives have horizontal direct effect between individuals?</w:t>
      </w:r>
    </w:p>
    <w:p w14:paraId="367FDB10" w14:textId="77777777" w:rsidR="00DF3B06" w:rsidRDefault="00000000">
      <w:r>
        <w:t>Principle: Directives bind states but not private parties unless implemented in national law.</w:t>
      </w:r>
    </w:p>
    <w:p w14:paraId="6203C941" w14:textId="77777777" w:rsidR="00DF3B06" w:rsidRDefault="00000000">
      <w:r>
        <w:t>Court Ruling: Directives cannot impose obligations on individuals directly.</w:t>
      </w:r>
    </w:p>
    <w:p w14:paraId="464CB7A7" w14:textId="77777777" w:rsidR="00DF3B06" w:rsidRDefault="00000000">
      <w:r>
        <w:t>Impact: Clarified the limitation of directives’ direct effect to vertical relationships.</w:t>
      </w:r>
    </w:p>
    <w:p w14:paraId="082E50DF" w14:textId="77777777" w:rsidR="00DF3B06" w:rsidRDefault="00000000">
      <w:pPr>
        <w:pStyle w:val="Heading2"/>
      </w:pPr>
      <w:r>
        <w:t>Costa v. ENEL (1964)</w:t>
      </w:r>
    </w:p>
    <w:p w14:paraId="73E12E43" w14:textId="77777777" w:rsidR="00DF3B06" w:rsidRDefault="00000000">
      <w:r>
        <w:t>Parties: Flaminio Costa v. ENEL (Italian electricity provider)</w:t>
      </w:r>
    </w:p>
    <w:p w14:paraId="20B8A379" w14:textId="77777777" w:rsidR="00DF3B06" w:rsidRDefault="00000000">
      <w:r>
        <w:t>Legal Issue: Does EU law prevail over conflicting national law?</w:t>
      </w:r>
    </w:p>
    <w:p w14:paraId="6664186B" w14:textId="77777777" w:rsidR="00DF3B06" w:rsidRDefault="00000000">
      <w:r>
        <w:t>Principle: EU law supremacy over national law.</w:t>
      </w:r>
    </w:p>
    <w:p w14:paraId="2909BB4E" w14:textId="77777777" w:rsidR="00DF3B06" w:rsidRDefault="00000000">
      <w:r>
        <w:t>Court Ruling: EU law overrides national law regardless of timing.</w:t>
      </w:r>
    </w:p>
    <w:p w14:paraId="75637188" w14:textId="77777777" w:rsidR="00DF3B06" w:rsidRDefault="00000000">
      <w:r>
        <w:t>Impact: Reinforced EU integration and uniform application of law.</w:t>
      </w:r>
    </w:p>
    <w:p w14:paraId="03075237" w14:textId="77777777" w:rsidR="00DF3B06" w:rsidRDefault="00000000">
      <w:pPr>
        <w:pStyle w:val="Heading2"/>
      </w:pPr>
      <w:r>
        <w:t>Simmenthal (1978)</w:t>
      </w:r>
    </w:p>
    <w:p w14:paraId="4AE9B95C" w14:textId="77777777" w:rsidR="00DF3B06" w:rsidRDefault="00000000">
      <w:r>
        <w:t>Parties: Simmenthal SpA v. Italian Government</w:t>
      </w:r>
    </w:p>
    <w:p w14:paraId="0378CCCE" w14:textId="77777777" w:rsidR="00DF3B06" w:rsidRDefault="00000000">
      <w:r>
        <w:t>Legal Issue: Must national courts disapply conflicting national law immediately?</w:t>
      </w:r>
    </w:p>
    <w:p w14:paraId="4C559ECD" w14:textId="77777777" w:rsidR="00DF3B06" w:rsidRDefault="00000000">
      <w:r>
        <w:t>Principle: National courts must directly disapply conflicting national provisions.</w:t>
      </w:r>
    </w:p>
    <w:p w14:paraId="0BB9FF82" w14:textId="77777777" w:rsidR="00DF3B06" w:rsidRDefault="00000000">
      <w:r>
        <w:t>Court Ruling: Yes, courts must do so without waiting for constitutional ruling.</w:t>
      </w:r>
    </w:p>
    <w:p w14:paraId="798BDA51" w14:textId="77777777" w:rsidR="00DF3B06" w:rsidRDefault="00000000">
      <w:r>
        <w:t>Impact: Strengthened effectiveness and supremacy of EU law.</w:t>
      </w:r>
    </w:p>
    <w:p w14:paraId="05434932" w14:textId="77777777" w:rsidR="00DF3B06" w:rsidRDefault="00000000">
      <w:pPr>
        <w:pStyle w:val="Heading2"/>
      </w:pPr>
      <w:r>
        <w:t>Dwarf Tossing Case (1990s)</w:t>
      </w:r>
    </w:p>
    <w:p w14:paraId="015BA8B5" w14:textId="77777777" w:rsidR="00DF3B06" w:rsidRDefault="00000000">
      <w:r>
        <w:t>Parties: French mayor v. participants of dwarf tossing events</w:t>
      </w:r>
    </w:p>
    <w:p w14:paraId="3463DB4E" w14:textId="77777777" w:rsidR="00DF3B06" w:rsidRDefault="00000000">
      <w:r>
        <w:t>Legal Issue: Does banning dwarf tossing violate freedom to work?</w:t>
      </w:r>
    </w:p>
    <w:p w14:paraId="75E117F9" w14:textId="77777777" w:rsidR="00DF3B06" w:rsidRDefault="00000000">
      <w:r>
        <w:t>Principle: Human dignity can justify restrictions on personal freedoms.</w:t>
      </w:r>
    </w:p>
    <w:p w14:paraId="5761B297" w14:textId="77777777" w:rsidR="00DF3B06" w:rsidRDefault="00000000">
      <w:r>
        <w:t>Court Ruling: Ban upheld by French Conseil d’État.</w:t>
      </w:r>
    </w:p>
    <w:p w14:paraId="5A0D2824" w14:textId="77777777" w:rsidR="00DF3B06" w:rsidRDefault="00000000">
      <w:r>
        <w:t>Impact: UN Human Rights Committee confirmed it protected dignity without discrimination.</w:t>
      </w:r>
    </w:p>
    <w:p w14:paraId="45C9CC63" w14:textId="77777777" w:rsidR="00DF3B06" w:rsidRDefault="00000000">
      <w:pPr>
        <w:pStyle w:val="Heading2"/>
      </w:pPr>
      <w:r>
        <w:t>Lenoir v. Sylvester (1830, North Carolina)</w:t>
      </w:r>
    </w:p>
    <w:p w14:paraId="69B2CD9A" w14:textId="77777777" w:rsidR="00DF3B06" w:rsidRDefault="00000000">
      <w:r>
        <w:t>Parties: Slave (Sylvester) v. Master (Lenoir)</w:t>
      </w:r>
    </w:p>
    <w:p w14:paraId="0B866C68" w14:textId="77777777" w:rsidR="00DF3B06" w:rsidRDefault="00000000">
      <w:r>
        <w:t>Legal Issue: Do slaves have legal personhood and property rights?</w:t>
      </w:r>
    </w:p>
    <w:p w14:paraId="3EF994FE" w14:textId="77777777" w:rsidR="00DF3B06" w:rsidRDefault="00000000">
      <w:r>
        <w:t>Principle: Slaves considered property, not persons with rights.</w:t>
      </w:r>
    </w:p>
    <w:p w14:paraId="07D5AB7E" w14:textId="77777777" w:rsidR="00DF3B06" w:rsidRDefault="00000000">
      <w:r>
        <w:t>Court Ruling: Slaves could not own property; anything acquired belonged to master.</w:t>
      </w:r>
    </w:p>
    <w:p w14:paraId="2B20C4BC" w14:textId="77777777" w:rsidR="00DF3B06" w:rsidRDefault="00000000">
      <w:r>
        <w:t>Impact: Reinforced denial of legal personality to slaves.</w:t>
      </w:r>
    </w:p>
    <w:p w14:paraId="23283079" w14:textId="77777777" w:rsidR="00DF3B06" w:rsidRDefault="00000000">
      <w:pPr>
        <w:pStyle w:val="Heading2"/>
      </w:pPr>
      <w:r>
        <w:t>Investors Compensation Scheme v. West Bromwich (1998, UKHL)</w:t>
      </w:r>
    </w:p>
    <w:p w14:paraId="57D85312" w14:textId="77777777" w:rsidR="00DF3B06" w:rsidRDefault="00000000">
      <w:r>
        <w:t>Parties: Investors Compensation Scheme Ltd v. West Bromwich Building Society</w:t>
      </w:r>
    </w:p>
    <w:p w14:paraId="20F7AD76" w14:textId="77777777" w:rsidR="00DF3B06" w:rsidRDefault="00000000">
      <w:r>
        <w:t>Legal Issue: How should contracts be interpreted?</w:t>
      </w:r>
    </w:p>
    <w:p w14:paraId="58C64C20" w14:textId="77777777" w:rsidR="00DF3B06" w:rsidRDefault="00000000">
      <w:r>
        <w:t>Principle: Meaning is what a reasonable person with background knowledge would understand.</w:t>
      </w:r>
    </w:p>
    <w:p w14:paraId="4A6353AC" w14:textId="77777777" w:rsidR="00DF3B06" w:rsidRDefault="00000000">
      <w:r>
        <w:t>Court Ruling: Contract must be read in factual context, not just literal words.</w:t>
      </w:r>
    </w:p>
    <w:p w14:paraId="5F8DC479" w14:textId="77777777" w:rsidR="00DF3B06" w:rsidRDefault="00000000">
      <w:r>
        <w:t>Impact: Shifted English law toward contextualism in interpretation.</w:t>
      </w:r>
    </w:p>
    <w:p w14:paraId="5CB751BD" w14:textId="77777777" w:rsidR="00DF3B06" w:rsidRDefault="00000000">
      <w:pPr>
        <w:pStyle w:val="Heading2"/>
      </w:pPr>
      <w:r>
        <w:t>Wood v. Capita Insurance (2017, UKSC)</w:t>
      </w:r>
    </w:p>
    <w:p w14:paraId="7FC79C31" w14:textId="77777777" w:rsidR="00DF3B06" w:rsidRDefault="00000000">
      <w:r>
        <w:t>Parties: Wood v. Capita Insurance Services Ltd</w:t>
      </w:r>
    </w:p>
    <w:p w14:paraId="27C01085" w14:textId="77777777" w:rsidR="00DF3B06" w:rsidRDefault="00000000">
      <w:r>
        <w:t>Legal Issue: Does indemnity clause cover mis-selling not reported to authorities?</w:t>
      </w:r>
    </w:p>
    <w:p w14:paraId="0E467697" w14:textId="77777777" w:rsidR="00DF3B06" w:rsidRDefault="00000000">
      <w:r>
        <w:t>Principle: Textualism: actual wording prevails; Contextualism plays a minor role.</w:t>
      </w:r>
    </w:p>
    <w:p w14:paraId="40404224" w14:textId="77777777" w:rsidR="00DF3B06" w:rsidRDefault="00000000">
      <w:r>
        <w:t>Court Ruling: Clause covered only officially reported mis-selling cases.</w:t>
      </w:r>
    </w:p>
    <w:p w14:paraId="7C363D42" w14:textId="77777777" w:rsidR="00DF3B06" w:rsidRDefault="00000000">
      <w:r>
        <w:t>Impact: Showed primacy of contract wording in interpretation.</w:t>
      </w:r>
    </w:p>
    <w:p w14:paraId="47D9198B" w14:textId="77777777" w:rsidR="00DF3B06" w:rsidRDefault="00000000">
      <w:pPr>
        <w:pStyle w:val="Heading2"/>
      </w:pPr>
      <w:r>
        <w:t>Antaios v. Salen Rederierna (1985, HL)</w:t>
      </w:r>
    </w:p>
    <w:p w14:paraId="6EB5BA0B" w14:textId="77777777" w:rsidR="00DF3B06" w:rsidRDefault="00000000">
      <w:r>
        <w:t>Parties: Antaios Compania Naviera SA v. Salen Rederierna AB</w:t>
      </w:r>
    </w:p>
    <w:p w14:paraId="4CAF1BF3" w14:textId="77777777" w:rsidR="00DF3B06" w:rsidRDefault="00000000">
      <w:r>
        <w:t>Legal Issue: Should literal interpretation prevail over business commonsense?</w:t>
      </w:r>
    </w:p>
    <w:p w14:paraId="74D01F1A" w14:textId="77777777" w:rsidR="00DF3B06" w:rsidRDefault="00000000">
      <w:r>
        <w:t>Principle: Literal wording yields to business commonsense if absurd.</w:t>
      </w:r>
    </w:p>
    <w:p w14:paraId="6F4622E0" w14:textId="77777777" w:rsidR="00DF3B06" w:rsidRDefault="00000000">
      <w:r>
        <w:t>Court Ruling: Business sense interpretation prevailed.</w:t>
      </w:r>
    </w:p>
    <w:p w14:paraId="70B4E415" w14:textId="77777777" w:rsidR="00DF3B06" w:rsidRDefault="00000000">
      <w:r>
        <w:t>Impact: Introduced commercial pragmatism in interpretation.</w:t>
      </w:r>
    </w:p>
    <w:p w14:paraId="669EEB71" w14:textId="77777777" w:rsidR="00DF3B06" w:rsidRDefault="00000000">
      <w:pPr>
        <w:pStyle w:val="Heading2"/>
      </w:pPr>
      <w:r>
        <w:t>Oates v. Romano (1991, UK)</w:t>
      </w:r>
    </w:p>
    <w:p w14:paraId="79BB4AF4" w14:textId="77777777" w:rsidR="00DF3B06" w:rsidRDefault="00000000">
      <w:r>
        <w:t>Parties: Oates v. Romano</w:t>
      </w:r>
    </w:p>
    <w:p w14:paraId="21376AFA" w14:textId="77777777" w:rsidR="00DF3B06" w:rsidRDefault="00000000">
      <w:r>
        <w:t>Legal Issue: When can extrinsic evidence be used to interpret a contract?</w:t>
      </w:r>
    </w:p>
    <w:p w14:paraId="660FC7DE" w14:textId="77777777" w:rsidR="00DF3B06" w:rsidRDefault="00000000">
      <w:r>
        <w:t>Principle: If words are clear, no extrinsic evidence; if ambiguous, context matters.</w:t>
      </w:r>
    </w:p>
    <w:p w14:paraId="067381B1" w14:textId="77777777" w:rsidR="00DF3B06" w:rsidRDefault="00000000">
      <w:r>
        <w:t>Court Ruling: Allowed extrinsic evidence only where ambiguity existed.</w:t>
      </w:r>
    </w:p>
    <w:p w14:paraId="18432850" w14:textId="77777777" w:rsidR="00DF3B06" w:rsidRDefault="00000000">
      <w:r>
        <w:t>Impact: Balanced strict textual clarity with contextual interpretation.</w:t>
      </w:r>
    </w:p>
    <w:sectPr w:rsidR="00DF3B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459737">
    <w:abstractNumId w:val="8"/>
  </w:num>
  <w:num w:numId="2" w16cid:durableId="14775263">
    <w:abstractNumId w:val="6"/>
  </w:num>
  <w:num w:numId="3" w16cid:durableId="880092252">
    <w:abstractNumId w:val="5"/>
  </w:num>
  <w:num w:numId="4" w16cid:durableId="1673070843">
    <w:abstractNumId w:val="4"/>
  </w:num>
  <w:num w:numId="5" w16cid:durableId="1810825770">
    <w:abstractNumId w:val="7"/>
  </w:num>
  <w:num w:numId="6" w16cid:durableId="1202130989">
    <w:abstractNumId w:val="3"/>
  </w:num>
  <w:num w:numId="7" w16cid:durableId="1403022464">
    <w:abstractNumId w:val="2"/>
  </w:num>
  <w:num w:numId="8" w16cid:durableId="1590191966">
    <w:abstractNumId w:val="1"/>
  </w:num>
  <w:num w:numId="9" w16cid:durableId="1594969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0F4"/>
    <w:rsid w:val="0029639D"/>
    <w:rsid w:val="00326F90"/>
    <w:rsid w:val="006D1827"/>
    <w:rsid w:val="00AA1D8D"/>
    <w:rsid w:val="00B47730"/>
    <w:rsid w:val="00CB0664"/>
    <w:rsid w:val="00DF3B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89DABB8-DFB6-47C1-A309-CBD63F7F8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Pavel Andreev</cp:lastModifiedBy>
  <cp:revision>2</cp:revision>
  <dcterms:created xsi:type="dcterms:W3CDTF">2013-12-23T23:15:00Z</dcterms:created>
  <dcterms:modified xsi:type="dcterms:W3CDTF">2025-08-31T10:20:00Z</dcterms:modified>
  <cp:category/>
</cp:coreProperties>
</file>