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Команда: Легендарный квартет</w:t>
      </w:r>
    </w:p>
    <w:p w:rsidR="00000000" w:rsidDel="00000000" w:rsidP="00000000" w:rsidRDefault="00000000" w:rsidRPr="00000000" w14:paraId="00000002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Продукт: Бот-экскурсовод по достопримечательностям Самары</w:t>
      </w:r>
    </w:p>
    <w:p w:rsidR="00000000" w:rsidDel="00000000" w:rsidP="00000000" w:rsidRDefault="00000000" w:rsidRPr="00000000" w14:paraId="00000003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Спринт № 2</w:t>
      </w:r>
    </w:p>
    <w:p w:rsidR="00000000" w:rsidDel="00000000" w:rsidP="00000000" w:rsidRDefault="00000000" w:rsidRPr="00000000" w14:paraId="00000004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Продолжительность: 12.04.2023 – 12.05.2023</w:t>
      </w:r>
    </w:p>
    <w:p w:rsidR="00000000" w:rsidDel="00000000" w:rsidP="00000000" w:rsidRDefault="00000000" w:rsidRPr="00000000" w14:paraId="00000005">
      <w:pP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Общее количество SP: 112</w:t>
      </w:r>
    </w:p>
    <w:p w:rsidR="00000000" w:rsidDel="00000000" w:rsidP="00000000" w:rsidRDefault="00000000" w:rsidRPr="00000000" w14:paraId="00000006">
      <w:pPr>
        <w:shd w:fill="ffffff" w:val="clear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спринта: окончательное согласование структуры меню бота, разбивка достопримечательностей на группы, разработка макета меню, формирование MVP с минимальным функционалом (перемещение по меню, переход по ссылке на внешний ресурс) на сокращенной выборке достопримечательностей (10-20 объектов), продуктовое исследование. Прочие задачи преподавателя. Внести данные спринтов в Kaiten. Разместить документы проекта в репозиториях.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8.7729563557822"/>
        <w:gridCol w:w="4349.0129481274935"/>
        <w:gridCol w:w="877.662251579946"/>
        <w:gridCol w:w="1532.634081117219"/>
        <w:gridCol w:w="1637.4295738431829"/>
        <w:tblGridChange w:id="0">
          <w:tblGrid>
            <w:gridCol w:w="628.7729563557822"/>
            <w:gridCol w:w="4349.0129481274935"/>
            <w:gridCol w:w="877.662251579946"/>
            <w:gridCol w:w="1532.634081117219"/>
            <w:gridCol w:w="1637.4295738431829"/>
          </w:tblGrid>
        </w:tblGridChange>
      </w:tblGrid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Задачи спринта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Исполнители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 на 11.04.2023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Окончательное согласование структуры меню бота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Павел, Ольга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Разбивка достопримечательностей на группы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Павел, Ольга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Разработка макета меню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Павел, Ольга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</w:t>
            </w:r>
          </w:p>
        </w:tc>
      </w:tr>
      <w:tr>
        <w:trPr>
          <w:cantSplit w:val="0"/>
          <w:trHeight w:val="156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Формирование MVP с минимальным функционалом (перемещение по меню, переход по ссылке на внешний ресурс) на сокращенной выборке достопримечательностей (10-20 объектов)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Выполнено частично (бесплатная версия продукта не позволяет реализовать 10-20 объектов)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Продуктовое исследование (портрет целевой аудитории на основе исследования (опроса))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Павел, Ольга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Ожидание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Внести данные спринтов в Kaiten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Ожидание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Разместить документы проекта в репозиториях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Ожидание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Прочие задачи преподавателя, связанные с содержанием проекта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Павел, Ольга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Ожидание</w:t>
            </w:r>
          </w:p>
        </w:tc>
      </w:tr>
    </w:tbl>
    <w:p w:rsidR="00000000" w:rsidDel="00000000" w:rsidP="00000000" w:rsidRDefault="00000000" w:rsidRPr="00000000" w14:paraId="00000034">
      <w:pPr>
        <w:shd w:fill="ffffff" w:val="clea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566.929133858267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66.929133858267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Достопримечательности для подготовки MVP:</w:t>
      </w:r>
    </w:p>
    <w:p w:rsidR="00000000" w:rsidDel="00000000" w:rsidP="00000000" w:rsidRDefault="00000000" w:rsidRPr="00000000" w14:paraId="0000003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Культурные </w:t>
      </w:r>
    </w:p>
    <w:p w:rsidR="00000000" w:rsidDel="00000000" w:rsidP="00000000" w:rsidRDefault="00000000" w:rsidRPr="00000000" w14:paraId="0000003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Самарский академический театр оперы и балета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566.9291338582677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1.2.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Самарский академический театр драмы имени М. Горького</w:t>
      </w:r>
    </w:p>
    <w:p w:rsidR="00000000" w:rsidDel="00000000" w:rsidP="00000000" w:rsidRDefault="00000000" w:rsidRPr="00000000" w14:paraId="0000003D">
      <w:pPr>
        <w:ind w:left="-566.9291338582677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1.3. ТЮЗ СамАрт</w:t>
      </w:r>
    </w:p>
    <w:p w:rsidR="00000000" w:rsidDel="00000000" w:rsidP="00000000" w:rsidRDefault="00000000" w:rsidRPr="00000000" w14:paraId="0000003E">
      <w:pPr>
        <w:ind w:left="-566.9291338582677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1.4. Музейно-выставочный центр «Самара космическая»</w:t>
      </w:r>
    </w:p>
    <w:p w:rsidR="00000000" w:rsidDel="00000000" w:rsidP="00000000" w:rsidRDefault="00000000" w:rsidRPr="00000000" w14:paraId="0000003F">
      <w:pPr>
        <w:ind w:left="-566.9291338582677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1.5. Самарский областной художественный музей</w:t>
      </w:r>
    </w:p>
    <w:p w:rsidR="00000000" w:rsidDel="00000000" w:rsidP="00000000" w:rsidRDefault="00000000" w:rsidRPr="00000000" w14:paraId="00000040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Исторические</w:t>
      </w:r>
    </w:p>
    <w:p w:rsidR="00000000" w:rsidDel="00000000" w:rsidP="00000000" w:rsidRDefault="00000000" w:rsidRPr="00000000" w14:paraId="00000042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Иверский женский монастырь</w:t>
      </w:r>
    </w:p>
    <w:p w:rsidR="00000000" w:rsidDel="00000000" w:rsidP="00000000" w:rsidRDefault="00000000" w:rsidRPr="00000000" w14:paraId="00000043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Бункер Сталина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Дом со слонами (Дача Константина Головкина)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Римско-католический приход Пресвятого Сердца Иисуса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Дом-музей Ленина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Природные</w:t>
      </w:r>
    </w:p>
    <w:p w:rsidR="00000000" w:rsidDel="00000000" w:rsidP="00000000" w:rsidRDefault="00000000" w:rsidRPr="00000000" w14:paraId="00000049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Сокские штольни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Самарская набережная </w:t>
      </w:r>
    </w:p>
    <w:p w:rsidR="00000000" w:rsidDel="00000000" w:rsidP="00000000" w:rsidRDefault="00000000" w:rsidRPr="00000000" w14:paraId="0000004B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3.3. </w:t>
      </w:r>
      <w:r w:rsidDel="00000000" w:rsidR="00000000" w:rsidRPr="00000000">
        <w:rPr>
          <w:color w:val="202122"/>
          <w:sz w:val="24"/>
          <w:szCs w:val="24"/>
          <w:highlight w:val="white"/>
          <w:rtl w:val="0"/>
        </w:rPr>
        <w:t xml:space="preserve">Центральный парк культуры и отдыха им. М.Горького (Загородный парк)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Пещера братьев Греве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566.929133858267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3.5.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Голубое озеро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