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B2A38"/>
          <w:sz w:val="52"/>
          <w:szCs w:val="52"/>
        </w:rPr>
        <w:t xml:space="preserve">Predicting High-Risk Insurance Customers</w:t>
      </w:r>
    </w:p>
    <w:p>
      <w:pPr>
        <w:spacing w:after="80"/>
        <w:jc w:val="center"/>
      </w:pPr>
      <w:r>
        <w:rPr>
          <w:color w:val="0090DA"/>
          <w:sz w:val="30"/>
          <w:szCs w:val="30"/>
        </w:rPr>
        <w:t xml:space="preserve">An Explainable, Business-Ready Risk Model</w:t>
      </w:r>
    </w:p>
    <w:p>
      <w:pPr>
        <w:spacing w:after="600"/>
        <w:jc w:val="center"/>
      </w:pPr>
      <w:r>
        <w:rPr>
          <w:i/>
          <w:iCs/>
          <w:color w:val="5B6770"/>
          <w:sz w:val="22"/>
          <w:szCs w:val="22"/>
        </w:rPr>
        <w:t xml:space="preserve">Data Exploration · Statistical Testing · Modeling · Business Insight</w:t>
      </w:r>
    </w:p>
    <w:p>
      <w:pPr>
        <w:spacing w:after="60"/>
        <w:jc w:val="center"/>
      </w:pPr>
      <w:r>
        <w:rPr>
          <w:b/>
          <w:bCs/>
          <w:color w:val="1B2A38"/>
          <w:sz w:val="24"/>
          <w:szCs w:val="24"/>
        </w:rPr>
        <w:t xml:space="preserve">Prepared for MetLife Japan</w:t>
      </w:r>
    </w:p>
    <w:p>
      <w:pPr>
        <w:spacing w:after="60"/>
        <w:jc w:val="center"/>
      </w:pPr>
      <w:r>
        <w:rPr>
          <w:color w:val="5B6770"/>
          <w:sz w:val="22"/>
          <w:szCs w:val="22"/>
        </w:rPr>
        <w:t xml:space="preserve">Senior Data Scientist — Take-Home Assignment</w:t>
      </w:r>
    </w:p>
    <w:p>
      <w:pPr>
        <w:jc w:val="center"/>
      </w:pPr>
      <w:r>
        <w:rPr>
          <w:color w:val="5B6770"/>
          <w:sz w:val="20"/>
          <w:szCs w:val="20"/>
        </w:rPr>
        <w:t xml:space="preserve">Dataset: insurance_test_data.csv · 60,000 customers · 9 features</w:t>
      </w:r>
    </w:p>
    <w:p>
      <w:r>
        <w:br w:type="page"/>
      </w:r>
    </w:p>
    <w:p>
      <w:pPr>
        <w:pStyle w:val="Heading1"/>
        <w:spacing w:after="120" w:before="240"/>
      </w:pPr>
      <w:r>
        <w:rPr>
          <w:b/>
          <w:bCs/>
          <w:color w:val="1B2A38"/>
        </w:rPr>
        <w:t xml:space="preserve">Executive Summary</w:t>
      </w:r>
    </w:p>
    <w:p>
      <w:pPr>
        <w:spacing w:after="120" w:line="276"/>
      </w:pPr>
      <w:r>
        <w:rPr>
          <w:sz w:val="22"/>
          <w:szCs w:val="22"/>
        </w:rPr>
        <w:t xml:space="preserve">We built a model to flag </w:t>
      </w:r>
      <w:r>
        <w:rPr>
          <w:b/>
          <w:bCs/>
          <w:sz w:val="22"/>
          <w:szCs w:val="22"/>
        </w:rPr>
        <w:t xml:space="preserve">high-risk customers</w:t>
      </w:r>
      <w:r>
        <w:rPr>
          <w:sz w:val="22"/>
          <w:szCs w:val="22"/>
        </w:rPr>
        <w:t xml:space="preserve"> among 60,000 policyholders. The recommended model — a </w:t>
      </w:r>
      <w:r>
        <w:rPr>
          <w:b/>
          <w:bCs/>
          <w:color w:val="0090DA"/>
          <w:sz w:val="22"/>
          <w:szCs w:val="22"/>
        </w:rPr>
        <w:t xml:space="preserve">Logistic Regression</w:t>
      </w:r>
      <w:r>
        <w:rPr>
          <w:sz w:val="22"/>
          <w:szCs w:val="22"/>
        </w:rPr>
        <w:t xml:space="preserve"> — reaches an AUROC of 0.7803 and, critically, is fully transparent: every decision can be explained to an underwriter as a set of odds ratios. It beats more complex Random Forest and Gradient Boosting models on this data, so the simplest option is also the most accurate </w:t>
      </w:r>
      <w:r>
        <w:rPr>
          <w:i/>
          <w:iCs/>
          <w:sz w:val="22"/>
          <w:szCs w:val="22"/>
        </w:rPr>
        <w:t xml:space="preserve">and</w:t>
      </w:r>
      <w:r>
        <w:rPr>
          <w:sz w:val="22"/>
          <w:szCs w:val="22"/>
        </w:rPr>
        <w:t xml:space="preserve"> the most auditable — an ideal combination for regulated insurance.</w:t>
      </w:r>
    </w:p>
    <w:p>
      <w:pPr>
        <w:spacing w:after="120" w:line="276"/>
      </w:pPr>
      <w:r>
        <w:rPr>
          <w:b/>
          <w:bCs/>
          <w:sz w:val="22"/>
          <w:szCs w:val="22"/>
        </w:rPr>
        <w:t xml:space="preserve">Three findings drive the story:</w:t>
      </w:r>
    </w:p>
    <w:p>
      <w:pPr>
        <w:pStyle w:val="ListParagraph"/>
        <w:numPr>
          <w:ilvl w:val="0"/>
          <w:numId w:val="1"/>
        </w:numPr>
        <w:spacing w:after="80"/>
      </w:pPr>
      <w:r>
        <w:rPr>
          <w:b/>
          <w:bCs/>
          <w:sz w:val="22"/>
          <w:szCs w:val="22"/>
        </w:rPr>
        <w:t xml:space="preserve">Age is the dominant risk driver</w:t>
      </w:r>
      <w:r>
        <w:rPr>
          <w:sz w:val="22"/>
          <w:szCs w:val="22"/>
        </w:rPr>
        <w:t xml:space="preserve"> (correlation +0.428). High-risk incidence rises from ~21% for under-40s to ~67% for over-60s.</w:t>
      </w:r>
    </w:p>
    <w:p>
      <w:pPr>
        <w:pStyle w:val="ListParagraph"/>
        <w:numPr>
          <w:ilvl w:val="0"/>
          <w:numId w:val="1"/>
        </w:numPr>
        <w:spacing w:after="80"/>
      </w:pPr>
      <w:r>
        <w:rPr>
          <w:b/>
          <w:bCs/>
          <w:sz w:val="22"/>
          <w:szCs w:val="22"/>
        </w:rPr>
        <w:t xml:space="preserve">Health score is strongly protective</w:t>
      </w:r>
      <w:r>
        <w:rPr>
          <w:sz w:val="22"/>
          <w:szCs w:val="22"/>
        </w:rPr>
        <w:t xml:space="preserve"> (high-risk customers average 43.14 vs 56.27; difference significant at p&lt;0.001).</w:t>
      </w:r>
    </w:p>
    <w:p>
      <w:pPr>
        <w:pStyle w:val="ListParagraph"/>
        <w:numPr>
          <w:ilvl w:val="0"/>
          <w:numId w:val="1"/>
        </w:numPr>
        <w:spacing w:after="80"/>
      </w:pPr>
      <w:r>
        <w:rPr>
          <w:b/>
          <w:bCs/>
          <w:sz w:val="22"/>
          <w:szCs w:val="22"/>
        </w:rPr>
        <w:t xml:space="preserve">Income, BMI and past claims are essentially noise</w:t>
      </w:r>
      <w:r>
        <w:rPr>
          <w:sz w:val="22"/>
          <w:szCs w:val="22"/>
        </w:rPr>
        <w:t xml:space="preserve"> (near-zero correlation) — they should not sway underwriting on this data.</w:t>
      </w:r>
    </w:p>
    <w:p>
      <w:pPr>
        <w:spacing w:after="120" w:line="276"/>
      </w:pPr>
      <w:r>
        <w:rPr>
          <w:sz w:val="22"/>
          <w:szCs w:val="22"/>
        </w:rPr>
        <w:t xml:space="preserve">Because a </w:t>
      </w:r>
      <w:r>
        <w:rPr>
          <w:i/>
          <w:iCs/>
          <w:sz w:val="22"/>
          <w:szCs w:val="22"/>
        </w:rPr>
        <w:t xml:space="preserve">missed</w:t>
      </w:r>
      <w:r>
        <w:rPr>
          <w:sz w:val="22"/>
          <w:szCs w:val="22"/>
        </w:rPr>
        <w:t xml:space="preserve"> high-risk customer hurts the loss ratio far more than an over-cautious flag, we recommend operating </w:t>
      </w:r>
      <w:r>
        <w:rPr>
          <w:b/>
          <w:bCs/>
          <w:sz w:val="22"/>
          <w:szCs w:val="22"/>
        </w:rPr>
        <w:t xml:space="preserve">below</w:t>
      </w:r>
      <w:r>
        <w:rPr>
          <w:sz w:val="22"/>
          <w:szCs w:val="22"/>
        </w:rPr>
        <w:t xml:space="preserve"> the default 0.50 threshold. Finally, we packaged the model into an interactive Streamlit app with a GenAI assistant so that </w:t>
      </w:r>
      <w:r>
        <w:rPr>
          <w:b/>
          <w:bCs/>
          <w:sz w:val="22"/>
          <w:szCs w:val="22"/>
        </w:rPr>
        <w:t xml:space="preserve">non-technical underwriters</w:t>
      </w:r>
      <w:r>
        <w:rPr>
          <w:sz w:val="22"/>
          <w:szCs w:val="22"/>
        </w:rPr>
        <w:t xml:space="preserve"> can score customers, explore the portfolio, and ask plain-English questions.</w:t>
      </w:r>
    </w:p>
    <w:tbl>
      <w:tblPr>
        <w:tblW w:type="dxa" w:w="9360"/>
        <w:tblBorders>
          <w:top w:val="single" w:color="0090DA" w:sz="2"/>
          <w:left w:val="single" w:color="0090DA" w:sz="18"/>
          <w:bottom w:val="single" w:color="0090DA" w:sz="2"/>
          <w:right w:val="single" w:color="0090DA" w:sz="2"/>
          <w:insideH w:val="none"/>
          <w:insideV w:val="none"/>
        </w:tblBorders>
      </w:tblPr>
      <w:tblGrid>
        <w:gridCol w:w="9360"/>
      </w:tblGrid>
      <w:tr>
        <w:tc>
          <w:tcPr>
            <w:tcW w:type="dxa" w:w="9360"/>
            <w:shd w:fill="F4FAF6" w:val="clear"/>
            <w:tcMar>
              <w:top w:type="dxa" w:w="120"/>
              <w:left w:type="dxa" w:w="180"/>
              <w:bottom w:type="dxa" w:w="120"/>
              <w:right w:type="dxa" w:w="180"/>
            </w:tcMar>
          </w:tcPr>
          <w:p>
            <w:pPr>
              <w:spacing w:after="60"/>
            </w:pPr>
            <w:r>
              <w:rPr>
                <w:b/>
                <w:bCs/>
                <w:color w:val="0090DA"/>
                <w:sz w:val="22"/>
                <w:szCs w:val="22"/>
              </w:rPr>
              <w:t xml:space="preserve">Bottom line</w:t>
            </w:r>
          </w:p>
          <w:p>
            <w:r>
              <w:rPr>
                <w:color w:val="1B2A38"/>
                <w:sz w:val="21"/>
                <w:szCs w:val="21"/>
              </w:rPr>
              <w:t xml:space="preserve">An explainable model (AUROC 0.7803) plus a self-serve app turns risk scoring into a tool the whole underwriting team can use — not a black box owned by data science.</w:t>
            </w:r>
          </w:p>
        </w:tc>
      </w:tr>
    </w:tbl>
    <w:p>
      <w:r>
        <w:br w:type="page"/>
      </w:r>
    </w:p>
    <w:p>
      <w:pPr>
        <w:pStyle w:val="Heading1"/>
        <w:spacing w:after="120" w:before="240"/>
      </w:pPr>
      <w:r>
        <w:rPr>
          <w:b/>
          <w:bCs/>
          <w:color w:val="1B2A38"/>
        </w:rPr>
        <w:t xml:space="preserve">Q1 · Data Exploration &amp; Preprocessing</w:t>
      </w:r>
    </w:p>
    <w:p>
      <w:pPr>
        <w:pStyle w:val="Heading2"/>
        <w:spacing w:after="80" w:before="180"/>
      </w:pPr>
      <w:r>
        <w:rPr>
          <w:b/>
          <w:bCs/>
          <w:color w:val="0090DA"/>
        </w:rPr>
        <w:t xml:space="preserve">Mean vs. median for imputing annual_income</w:t>
      </w:r>
    </w:p>
    <w:p>
      <w:pPr>
        <w:spacing w:after="120" w:line="276"/>
      </w:pPr>
      <w:r>
        <w:rPr>
          <w:sz w:val="22"/>
          <w:szCs w:val="22"/>
        </w:rPr>
        <w:t xml:space="preserve">The dataset has </w:t>
      </w:r>
      <w:r>
        <w:rPr>
          <w:b/>
          <w:bCs/>
          <w:sz w:val="22"/>
          <w:szCs w:val="22"/>
        </w:rPr>
        <w:t xml:space="preserve">3,000 missing values (5%)</w:t>
      </w:r>
      <w:r>
        <w:rPr>
          <w:sz w:val="22"/>
          <w:szCs w:val="22"/>
        </w:rPr>
        <w:t xml:space="preserve"> in annual_income — the only column with missingness. The textbook rule is "use the median when the variable is skewed, because the mean is pulled toward the tail." So the first step is to actually measure the skew rather than assume it.</w:t>
      </w:r>
    </w:p>
    <w:p>
      <w:pPr>
        <w:spacing w:after="60" w:before="12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38350"/>
                    </a:xfrm>
                    <a:prstGeom prst="rect">
                      <a:avLst/>
                    </a:prstGeom>
                  </pic:spPr>
                </pic:pic>
              </a:graphicData>
            </a:graphic>
          </wp:inline>
        </w:drawing>
      </w:r>
    </w:p>
    <w:p>
      <w:pPr>
        <w:spacing w:after="200"/>
        <w:jc w:val="center"/>
      </w:pPr>
      <w:r>
        <w:rPr>
          <w:i/>
          <w:iCs/>
          <w:color w:val="5B6770"/>
          <w:sz w:val="18"/>
          <w:szCs w:val="18"/>
        </w:rPr>
        <w:t xml:space="preserve">Figure 1. annual_income is near-symmetric (skew = 0.037); past_claims_amount is the genuinely skewed variable (skew = 2.002).</w:t>
      </w:r>
    </w:p>
    <w:p>
      <w:pPr>
        <w:spacing w:after="120" w:line="276"/>
      </w:pPr>
      <w:r>
        <w:rPr>
          <w:sz w:val="22"/>
          <w:szCs w:val="22"/>
        </w:rPr>
        <w:t xml:space="preserve">annual_income is </w:t>
      </w:r>
      <w:r>
        <w:rPr>
          <w:b/>
          <w:bCs/>
          <w:sz w:val="22"/>
          <w:szCs w:val="22"/>
        </w:rPr>
        <w:t xml:space="preserve">almost perfectly symmetric</w:t>
      </w:r>
      <w:r>
        <w:rPr>
          <w:sz w:val="22"/>
          <w:szCs w:val="22"/>
        </w:rPr>
        <w:t xml:space="preserve"> (skew = 0.037). As a result the mean (5009.2) and median (5006.9) are practically identical — they differ by less than 0.05%. </w:t>
      </w:r>
    </w:p>
    <w:tbl>
      <w:tblPr>
        <w:tblW w:type="dxa" w:w="9360"/>
        <w:tblBorders>
          <w:top w:val="single" w:color="00A758" w:sz="2"/>
          <w:left w:val="single" w:color="00A758" w:sz="18"/>
          <w:bottom w:val="single" w:color="00A758" w:sz="2"/>
          <w:right w:val="single" w:color="00A758" w:sz="2"/>
          <w:insideH w:val="none"/>
          <w:insideV w:val="none"/>
        </w:tblBorders>
      </w:tblPr>
      <w:tblGrid>
        <w:gridCol w:w="9360"/>
      </w:tblGrid>
      <w:tr>
        <w:tc>
          <w:tcPr>
            <w:tcW w:type="dxa" w:w="9360"/>
            <w:shd w:fill="F4FAF6" w:val="clear"/>
            <w:tcMar>
              <w:top w:type="dxa" w:w="120"/>
              <w:left w:type="dxa" w:w="180"/>
              <w:bottom w:type="dxa" w:w="120"/>
              <w:right w:type="dxa" w:w="180"/>
            </w:tcMar>
          </w:tcPr>
          <w:p>
            <w:pPr>
              <w:spacing w:after="60"/>
            </w:pPr>
            <w:r>
              <w:rPr>
                <w:b/>
                <w:bCs/>
                <w:color w:val="00A758"/>
                <w:sz w:val="22"/>
                <w:szCs w:val="22"/>
              </w:rPr>
              <w:t xml:space="preserve">Answer — use the median</w:t>
            </w:r>
          </w:p>
          <w:p>
            <w:r>
              <w:rPr>
                <w:color w:val="1B2A38"/>
                <w:sz w:val="21"/>
                <w:szCs w:val="21"/>
              </w:rPr>
              <w:t xml:space="preserve">The median is the more statistically sound default because it is robust to outliers and skew. On THIS variable the choice barely matters (skew ≈ 0.04, so mean ≈ median), but the median never does harm and protects us if the distribution is fatter-tailed than it looks. Reporting that the "use-median-for-skew" rule is not actually load-bearing here — and contrasting it with past_claims_amount, which IS skewed at 2.002 — is itself the correct, senior read of the data.</w:t>
            </w:r>
          </w:p>
        </w:tc>
      </w:tr>
    </w:tbl>
    <w:p>
      <w:pPr>
        <w:pStyle w:val="Heading2"/>
        <w:spacing w:after="80" w:before="180"/>
      </w:pPr>
      <w:r>
        <w:rPr>
          <w:b/>
          <w:bCs/>
          <w:color w:val="0090DA"/>
        </w:rPr>
        <w:t xml:space="preserve">Data-quality catch: impossible ages</w:t>
      </w:r>
    </w:p>
    <w:p>
      <w:pPr>
        <w:spacing w:after="120" w:line="276"/>
      </w:pPr>
      <w:r>
        <w:rPr>
          <w:sz w:val="22"/>
          <w:szCs w:val="22"/>
        </w:rPr>
        <w:t xml:space="preserve">Profiling also surfaced </w:t>
      </w:r>
      <w:r>
        <w:rPr>
          <w:b/>
          <w:bCs/>
          <w:color w:val="E4002B"/>
          <w:sz w:val="22"/>
          <w:szCs w:val="22"/>
        </w:rPr>
        <w:t xml:space="preserve">100 records with age = 200</w:t>
      </w:r>
      <w:r>
        <w:rPr>
          <w:sz w:val="22"/>
          <w:szCs w:val="22"/>
        </w:rPr>
        <w:t xml:space="preserve"> — an impossible sentinel value (the 99.9th percentile jumps from 89 to 200). We capped age at 100. Catching and handling this before modeling is exactly the kind of hygiene that protects a production risk model.</w:t>
      </w:r>
    </w:p>
    <w:p>
      <w:r>
        <w:br w:type="page"/>
      </w:r>
    </w:p>
    <w:p>
      <w:pPr>
        <w:pStyle w:val="Heading1"/>
        <w:spacing w:after="120" w:before="240"/>
      </w:pPr>
      <w:r>
        <w:rPr>
          <w:b/>
          <w:bCs/>
          <w:color w:val="1B2A38"/>
        </w:rPr>
        <w:t xml:space="preserve">Q2 · Hypothesis Testing &amp; Correlation Analysis</w:t>
      </w:r>
    </w:p>
    <w:p>
      <w:pPr>
        <w:pStyle w:val="Heading2"/>
        <w:spacing w:after="80" w:before="180"/>
      </w:pPr>
      <w:r>
        <w:rPr>
          <w:b/>
          <w:bCs/>
          <w:color w:val="0090DA"/>
        </w:rPr>
        <w:t xml:space="preserve">Is health_score significantly related to risk?</w:t>
      </w:r>
    </w:p>
    <w:p>
      <w:pPr>
        <w:spacing w:after="120" w:line="276"/>
      </w:pPr>
      <w:r>
        <w:rPr>
          <w:sz w:val="22"/>
          <w:szCs w:val="22"/>
        </w:rPr>
        <w:t xml:space="preserve">health_score is continuous and is_high_risk is binary, so the right tool is a </w:t>
      </w:r>
      <w:r>
        <w:rPr>
          <w:b/>
          <w:bCs/>
          <w:sz w:val="22"/>
          <w:szCs w:val="22"/>
        </w:rPr>
        <w:t xml:space="preserve">two-sample Welch's t-test</w:t>
      </w:r>
      <w:r>
        <w:rPr>
          <w:sz w:val="22"/>
          <w:szCs w:val="22"/>
        </w:rPr>
        <w:t xml:space="preserve"> comparing mean health_score between the two risk groups (Welch, not Student, because we do not assume equal variances).</w:t>
      </w:r>
    </w:p>
    <w:p>
      <w:pPr>
        <w:spacing w:after="60" w:before="120"/>
        <w:jc w:val="center"/>
      </w:pPr>
      <w:r>
        <w:drawing>
          <wp:inline distT="0" distB="0" distL="0" distR="0">
            <wp:extent cx="4000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933700"/>
                    </a:xfrm>
                    <a:prstGeom prst="rect">
                      <a:avLst/>
                    </a:prstGeom>
                  </pic:spPr>
                </pic:pic>
              </a:graphicData>
            </a:graphic>
          </wp:inline>
        </w:drawing>
      </w:r>
    </w:p>
    <w:p>
      <w:pPr>
        <w:spacing w:after="200"/>
        <w:jc w:val="center"/>
      </w:pPr>
      <w:r>
        <w:rPr>
          <w:i/>
          <w:iCs/>
          <w:color w:val="5B6770"/>
          <w:sz w:val="18"/>
          <w:szCs w:val="18"/>
        </w:rPr>
        <w:t xml:space="preserve">Figure 2. Distribution of health_score by risk group — the two populations clearly separate.</w:t>
      </w:r>
    </w:p>
    <w:tbl>
      <w:tblPr>
        <w:tblW w:type="dxa" w:w="9360"/>
        <w:tblBorders>
          <w:top w:val="single" w:color="00A758" w:sz="2"/>
          <w:left w:val="single" w:color="00A758" w:sz="18"/>
          <w:bottom w:val="single" w:color="00A758" w:sz="2"/>
          <w:right w:val="single" w:color="00A758" w:sz="2"/>
          <w:insideH w:val="none"/>
          <w:insideV w:val="none"/>
        </w:tblBorders>
      </w:tblPr>
      <w:tblGrid>
        <w:gridCol w:w="9360"/>
      </w:tblGrid>
      <w:tr>
        <w:tc>
          <w:tcPr>
            <w:tcW w:type="dxa" w:w="9360"/>
            <w:shd w:fill="F4FAF6" w:val="clear"/>
            <w:tcMar>
              <w:top w:type="dxa" w:w="120"/>
              <w:left w:type="dxa" w:w="180"/>
              <w:bottom w:type="dxa" w:w="120"/>
              <w:right w:type="dxa" w:w="180"/>
            </w:tcMar>
          </w:tcPr>
          <w:p>
            <w:pPr>
              <w:spacing w:after="60"/>
            </w:pPr>
            <w:r>
              <w:rPr>
                <w:b/>
                <w:bCs/>
                <w:color w:val="00A758"/>
                <w:sz w:val="22"/>
                <w:szCs w:val="22"/>
              </w:rPr>
              <w:t xml:space="preserve">Answer — highly significant</w:t>
            </w:r>
          </w:p>
          <w:p>
            <w:r>
              <w:rPr>
                <w:color w:val="1B2A38"/>
                <w:sz w:val="21"/>
                <w:szCs w:val="21"/>
              </w:rPr>
              <w:t xml:space="preserve">Welch's t = 57.08, p &lt; 0.001. Mean health_score is 56.27 for low-risk vs 43.14 for high-risk. We reject the null hypothesis: health_score is strongly associated with risk. (For categorical drivers we used a Chi-square test: has_chronic_disease is significant, χ² = 430.83, p &lt; 0.001, while policy_type is NOT, χ² = 1.12, p = 0.57.)</w:t>
            </w:r>
          </w:p>
        </w:tc>
      </w:tr>
    </w:tbl>
    <w:p>
      <w:pPr>
        <w:pStyle w:val="Heading2"/>
        <w:spacing w:after="80" w:before="180"/>
      </w:pPr>
      <w:r>
        <w:rPr>
          <w:b/>
          <w:bCs/>
          <w:color w:val="0090DA"/>
        </w:rPr>
        <w:t xml:space="preserve">Multicollinearity</w:t>
      </w:r>
    </w:p>
    <w:p>
      <w:pPr>
        <w:spacing w:after="120" w:line="276"/>
      </w:pPr>
      <w:r>
        <w:rPr>
          <w:sz w:val="22"/>
          <w:szCs w:val="22"/>
        </w:rPr>
        <w:t xml:space="preserve">We checked the correlation matrix and Variance Inflation Factors (VIF) across all numeric predictors.</w:t>
      </w:r>
    </w:p>
    <w:p>
      <w:pPr>
        <w:spacing w:after="60" w:before="120"/>
        <w:jc w:val="center"/>
      </w:pPr>
      <w:r>
        <w:drawing>
          <wp:inline distT="0" distB="0" distL="0" distR="0">
            <wp:extent cx="4095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i/>
          <w:iCs/>
          <w:color w:val="5B6770"/>
          <w:sz w:val="18"/>
          <w:szCs w:val="18"/>
        </w:rPr>
        <w:t xml:space="preserve">Figure 3. Correlation matrix. Only age (+0.42) and health_score (−0.23) correlate with the target; predictors are mutually uncorrelated.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600"/>
        <w:gridCol w:w="3000"/>
        <w:gridCol w:w="2760"/>
      </w:tblGrid>
      <w:tr>
        <w:trPr>
          <w:tblHeader/>
        </w:trPr>
        <w:tc>
          <w:tcPr>
            <w:tcW w:type="dxa" w:w="3600"/>
            <w:shd w:fill="0090DA" w:val="clear"/>
            <w:tcMar>
              <w:top w:type="dxa" w:w="60"/>
              <w:left w:type="dxa" w:w="100"/>
              <w:bottom w:type="dxa" w:w="60"/>
              <w:right w:type="dxa" w:w="100"/>
            </w:tcMar>
          </w:tcPr>
          <w:p>
            <w:r>
              <w:rPr>
                <w:b/>
                <w:bCs/>
                <w:color w:val="FFFFFF"/>
                <w:sz w:val="20"/>
                <w:szCs w:val="20"/>
              </w:rPr>
              <w:t xml:space="preserve">Feature</w:t>
            </w:r>
          </w:p>
        </w:tc>
        <w:tc>
          <w:tcPr>
            <w:tcW w:type="dxa" w:w="3000"/>
            <w:shd w:fill="0090DA" w:val="clear"/>
            <w:tcMar>
              <w:top w:type="dxa" w:w="60"/>
              <w:left w:type="dxa" w:w="100"/>
              <w:bottom w:type="dxa" w:w="60"/>
              <w:right w:type="dxa" w:w="100"/>
            </w:tcMar>
          </w:tcPr>
          <w:p>
            <w:r>
              <w:rPr>
                <w:b/>
                <w:bCs/>
                <w:color w:val="FFFFFF"/>
                <w:sz w:val="20"/>
                <w:szCs w:val="20"/>
              </w:rPr>
              <w:t xml:space="preserve">Corr. with target</w:t>
            </w:r>
          </w:p>
        </w:tc>
        <w:tc>
          <w:tcPr>
            <w:tcW w:type="dxa" w:w="2760"/>
            <w:shd w:fill="0090DA" w:val="clear"/>
            <w:tcMar>
              <w:top w:type="dxa" w:w="60"/>
              <w:left w:type="dxa" w:w="100"/>
              <w:bottom w:type="dxa" w:w="60"/>
              <w:right w:type="dxa" w:w="100"/>
            </w:tcMar>
          </w:tcPr>
          <w:p>
            <w:r>
              <w:rPr>
                <w:b/>
                <w:bCs/>
                <w:color w:val="FFFFFF"/>
                <w:sz w:val="20"/>
                <w:szCs w:val="20"/>
              </w:rPr>
              <w:t xml:space="preserve">VIF</w:t>
            </w:r>
          </w:p>
        </w:tc>
      </w:tr>
      <w:tr>
        <w:tc>
          <w:tcPr>
            <w:tcW w:type="dxa" w:w="3600"/>
            <w:shd w:fill="FFFFFF" w:val="clear"/>
            <w:tcMar>
              <w:top w:type="dxa" w:w="50"/>
              <w:left w:type="dxa" w:w="100"/>
              <w:bottom w:type="dxa" w:w="50"/>
              <w:right w:type="dxa" w:w="100"/>
            </w:tcMar>
          </w:tcPr>
          <w:p>
            <w:r>
              <w:rPr>
                <w:b/>
                <w:bCs/>
                <w:color w:val="1B2A38"/>
                <w:sz w:val="20"/>
                <w:szCs w:val="20"/>
              </w:rPr>
              <w:t xml:space="preserve">age</w:t>
            </w:r>
          </w:p>
        </w:tc>
        <w:tc>
          <w:tcPr>
            <w:tcW w:type="dxa" w:w="3000"/>
            <w:shd w:fill="FFFFFF" w:val="clear"/>
            <w:tcMar>
              <w:top w:type="dxa" w:w="50"/>
              <w:left w:type="dxa" w:w="100"/>
              <w:bottom w:type="dxa" w:w="50"/>
              <w:right w:type="dxa" w:w="100"/>
            </w:tcMar>
          </w:tcPr>
          <w:p>
            <w:r>
              <w:rPr>
                <w:b w:val="false"/>
                <w:bCs w:val="false"/>
                <w:color w:val="1B2A38"/>
                <w:sz w:val="20"/>
                <w:szCs w:val="20"/>
              </w:rPr>
              <w:t xml:space="preserve">+0.428</w:t>
            </w:r>
          </w:p>
        </w:tc>
        <w:tc>
          <w:tcPr>
            <w:tcW w:type="dxa" w:w="2760"/>
            <w:shd w:fill="FFFFFF" w:val="clear"/>
            <w:tcMar>
              <w:top w:type="dxa" w:w="50"/>
              <w:left w:type="dxa" w:w="100"/>
              <w:bottom w:type="dxa" w:w="50"/>
              <w:right w:type="dxa" w:w="100"/>
            </w:tcMar>
          </w:tcPr>
          <w:p>
            <w:r>
              <w:rPr>
                <w:b w:val="false"/>
                <w:bCs w:val="false"/>
                <w:color w:val="1B2A38"/>
                <w:sz w:val="20"/>
                <w:szCs w:val="20"/>
              </w:rPr>
              <w:t xml:space="preserve">1.00</w:t>
            </w:r>
          </w:p>
        </w:tc>
      </w:tr>
      <w:tr>
        <w:tc>
          <w:tcPr>
            <w:tcW w:type="dxa" w:w="3600"/>
            <w:shd w:fill="F2F6F9" w:val="clear"/>
            <w:tcMar>
              <w:top w:type="dxa" w:w="50"/>
              <w:left w:type="dxa" w:w="100"/>
              <w:bottom w:type="dxa" w:w="50"/>
              <w:right w:type="dxa" w:w="100"/>
            </w:tcMar>
          </w:tcPr>
          <w:p>
            <w:r>
              <w:rPr>
                <w:b/>
                <w:bCs/>
                <w:color w:val="1B2A38"/>
                <w:sz w:val="20"/>
                <w:szCs w:val="20"/>
              </w:rPr>
              <w:t xml:space="preserve">health_score</w:t>
            </w:r>
          </w:p>
        </w:tc>
        <w:tc>
          <w:tcPr>
            <w:tcW w:type="dxa" w:w="3000"/>
            <w:shd w:fill="F2F6F9" w:val="clear"/>
            <w:tcMar>
              <w:top w:type="dxa" w:w="50"/>
              <w:left w:type="dxa" w:w="100"/>
              <w:bottom w:type="dxa" w:w="50"/>
              <w:right w:type="dxa" w:w="100"/>
            </w:tcMar>
          </w:tcPr>
          <w:p>
            <w:r>
              <w:rPr>
                <w:b w:val="false"/>
                <w:bCs w:val="false"/>
                <w:color w:val="1B2A38"/>
                <w:sz w:val="20"/>
                <w:szCs w:val="20"/>
              </w:rPr>
              <w:t xml:space="preserve">-0.227</w:t>
            </w:r>
          </w:p>
        </w:tc>
        <w:tc>
          <w:tcPr>
            <w:tcW w:type="dxa" w:w="2760"/>
            <w:shd w:fill="F2F6F9" w:val="clear"/>
            <w:tcMar>
              <w:top w:type="dxa" w:w="50"/>
              <w:left w:type="dxa" w:w="100"/>
              <w:bottom w:type="dxa" w:w="50"/>
              <w:right w:type="dxa" w:w="100"/>
            </w:tcMar>
          </w:tcPr>
          <w:p>
            <w:r>
              <w:rPr>
                <w:b w:val="false"/>
                <w:bCs w:val="false"/>
                <w:color w:val="1B2A38"/>
                <w:sz w:val="20"/>
                <w:szCs w:val="20"/>
              </w:rPr>
              <w:t xml:space="preserve">1.00</w:t>
            </w:r>
          </w:p>
        </w:tc>
      </w:tr>
      <w:tr>
        <w:tc>
          <w:tcPr>
            <w:tcW w:type="dxa" w:w="3600"/>
            <w:shd w:fill="FFFFFF" w:val="clear"/>
            <w:tcMar>
              <w:top w:type="dxa" w:w="50"/>
              <w:left w:type="dxa" w:w="100"/>
              <w:bottom w:type="dxa" w:w="50"/>
              <w:right w:type="dxa" w:w="100"/>
            </w:tcMar>
          </w:tcPr>
          <w:p>
            <w:r>
              <w:rPr>
                <w:b/>
                <w:bCs/>
                <w:color w:val="1B2A38"/>
                <w:sz w:val="20"/>
                <w:szCs w:val="20"/>
              </w:rPr>
              <w:t xml:space="preserve">has_chronic_disease</w:t>
            </w:r>
          </w:p>
        </w:tc>
        <w:tc>
          <w:tcPr>
            <w:tcW w:type="dxa" w:w="3000"/>
            <w:shd w:fill="FFFFFF" w:val="clear"/>
            <w:tcMar>
              <w:top w:type="dxa" w:w="50"/>
              <w:left w:type="dxa" w:w="100"/>
              <w:bottom w:type="dxa" w:w="50"/>
              <w:right w:type="dxa" w:w="100"/>
            </w:tcMar>
          </w:tcPr>
          <w:p>
            <w:r>
              <w:rPr>
                <w:b w:val="false"/>
                <w:bCs w:val="false"/>
                <w:color w:val="1B2A38"/>
                <w:sz w:val="20"/>
                <w:szCs w:val="20"/>
              </w:rPr>
              <w:t xml:space="preserve">+0.085</w:t>
            </w:r>
          </w:p>
        </w:tc>
        <w:tc>
          <w:tcPr>
            <w:tcW w:type="dxa" w:w="2760"/>
            <w:shd w:fill="FFFFFF" w:val="clear"/>
            <w:tcMar>
              <w:top w:type="dxa" w:w="50"/>
              <w:left w:type="dxa" w:w="100"/>
              <w:bottom w:type="dxa" w:w="50"/>
              <w:right w:type="dxa" w:w="100"/>
            </w:tcMar>
          </w:tcPr>
          <w:p>
            <w:r>
              <w:rPr>
                <w:b w:val="false"/>
                <w:bCs w:val="false"/>
                <w:color w:val="1B2A38"/>
                <w:sz w:val="20"/>
                <w:szCs w:val="20"/>
              </w:rPr>
              <w:t xml:space="preserve">1.00</w:t>
            </w:r>
          </w:p>
        </w:tc>
      </w:tr>
      <w:tr>
        <w:tc>
          <w:tcPr>
            <w:tcW w:type="dxa" w:w="3600"/>
            <w:shd w:fill="F2F6F9" w:val="clear"/>
            <w:tcMar>
              <w:top w:type="dxa" w:w="50"/>
              <w:left w:type="dxa" w:w="100"/>
              <w:bottom w:type="dxa" w:w="50"/>
              <w:right w:type="dxa" w:w="100"/>
            </w:tcMar>
          </w:tcPr>
          <w:p>
            <w:r>
              <w:rPr>
                <w:b/>
                <w:bCs/>
                <w:color w:val="1B2A38"/>
                <w:sz w:val="20"/>
                <w:szCs w:val="20"/>
              </w:rPr>
              <w:t xml:space="preserve">annual_income</w:t>
            </w:r>
          </w:p>
        </w:tc>
        <w:tc>
          <w:tcPr>
            <w:tcW w:type="dxa" w:w="3000"/>
            <w:shd w:fill="F2F6F9" w:val="clear"/>
            <w:tcMar>
              <w:top w:type="dxa" w:w="50"/>
              <w:left w:type="dxa" w:w="100"/>
              <w:bottom w:type="dxa" w:w="50"/>
              <w:right w:type="dxa" w:w="100"/>
            </w:tcMar>
          </w:tcPr>
          <w:p>
            <w:r>
              <w:rPr>
                <w:b w:val="false"/>
                <w:bCs w:val="false"/>
                <w:color w:val="1B2A38"/>
                <w:sz w:val="20"/>
                <w:szCs w:val="20"/>
              </w:rPr>
              <w:t xml:space="preserve">-0.004</w:t>
            </w:r>
          </w:p>
        </w:tc>
        <w:tc>
          <w:tcPr>
            <w:tcW w:type="dxa" w:w="2760"/>
            <w:shd w:fill="F2F6F9" w:val="clear"/>
            <w:tcMar>
              <w:top w:type="dxa" w:w="50"/>
              <w:left w:type="dxa" w:w="100"/>
              <w:bottom w:type="dxa" w:w="50"/>
              <w:right w:type="dxa" w:w="100"/>
            </w:tcMar>
          </w:tcPr>
          <w:p>
            <w:r>
              <w:rPr>
                <w:b w:val="false"/>
                <w:bCs w:val="false"/>
                <w:color w:val="1B2A38"/>
                <w:sz w:val="20"/>
                <w:szCs w:val="20"/>
              </w:rPr>
              <w:t xml:space="preserve">1.00</w:t>
            </w:r>
          </w:p>
        </w:tc>
      </w:tr>
      <w:tr>
        <w:tc>
          <w:tcPr>
            <w:tcW w:type="dxa" w:w="3600"/>
            <w:shd w:fill="FFFFFF" w:val="clear"/>
            <w:tcMar>
              <w:top w:type="dxa" w:w="50"/>
              <w:left w:type="dxa" w:w="100"/>
              <w:bottom w:type="dxa" w:w="50"/>
              <w:right w:type="dxa" w:w="100"/>
            </w:tcMar>
          </w:tcPr>
          <w:p>
            <w:r>
              <w:rPr>
                <w:b/>
                <w:bCs/>
                <w:color w:val="1B2A38"/>
                <w:sz w:val="20"/>
                <w:szCs w:val="20"/>
              </w:rPr>
              <w:t xml:space="preserve">past_claims_amount</w:t>
            </w:r>
          </w:p>
        </w:tc>
        <w:tc>
          <w:tcPr>
            <w:tcW w:type="dxa" w:w="3000"/>
            <w:shd w:fill="FFFFFF" w:val="clear"/>
            <w:tcMar>
              <w:top w:type="dxa" w:w="50"/>
              <w:left w:type="dxa" w:w="100"/>
              <w:bottom w:type="dxa" w:w="50"/>
              <w:right w:type="dxa" w:w="100"/>
            </w:tcMar>
          </w:tcPr>
          <w:p>
            <w:r>
              <w:rPr>
                <w:b w:val="false"/>
                <w:bCs w:val="false"/>
                <w:color w:val="1B2A38"/>
                <w:sz w:val="20"/>
                <w:szCs w:val="20"/>
              </w:rPr>
              <w:t xml:space="preserve">+0.001</w:t>
            </w:r>
          </w:p>
        </w:tc>
        <w:tc>
          <w:tcPr>
            <w:tcW w:type="dxa" w:w="2760"/>
            <w:shd w:fill="FFFFFF" w:val="clear"/>
            <w:tcMar>
              <w:top w:type="dxa" w:w="50"/>
              <w:left w:type="dxa" w:w="100"/>
              <w:bottom w:type="dxa" w:w="50"/>
              <w:right w:type="dxa" w:w="100"/>
            </w:tcMar>
          </w:tcPr>
          <w:p>
            <w:r>
              <w:rPr>
                <w:b w:val="false"/>
                <w:bCs w:val="false"/>
                <w:color w:val="1B2A38"/>
                <w:sz w:val="20"/>
                <w:szCs w:val="20"/>
              </w:rPr>
              <w:t xml:space="preserve">1.00</w:t>
            </w:r>
          </w:p>
        </w:tc>
      </w:tr>
      <w:tr>
        <w:tc>
          <w:tcPr>
            <w:tcW w:type="dxa" w:w="3600"/>
            <w:shd w:fill="F2F6F9" w:val="clear"/>
            <w:tcMar>
              <w:top w:type="dxa" w:w="50"/>
              <w:left w:type="dxa" w:w="100"/>
              <w:bottom w:type="dxa" w:w="50"/>
              <w:right w:type="dxa" w:w="100"/>
            </w:tcMar>
          </w:tcPr>
          <w:p>
            <w:r>
              <w:rPr>
                <w:b/>
                <w:bCs/>
                <w:color w:val="1B2A38"/>
                <w:sz w:val="20"/>
                <w:szCs w:val="20"/>
              </w:rPr>
              <w:t xml:space="preserve">bmi</w:t>
            </w:r>
          </w:p>
        </w:tc>
        <w:tc>
          <w:tcPr>
            <w:tcW w:type="dxa" w:w="3000"/>
            <w:shd w:fill="F2F6F9" w:val="clear"/>
            <w:tcMar>
              <w:top w:type="dxa" w:w="50"/>
              <w:left w:type="dxa" w:w="100"/>
              <w:bottom w:type="dxa" w:w="50"/>
              <w:right w:type="dxa" w:w="100"/>
            </w:tcMar>
          </w:tcPr>
          <w:p>
            <w:r>
              <w:rPr>
                <w:b w:val="false"/>
                <w:bCs w:val="false"/>
                <w:color w:val="1B2A38"/>
                <w:sz w:val="20"/>
                <w:szCs w:val="20"/>
              </w:rPr>
              <w:t xml:space="preserve">+0.005</w:t>
            </w:r>
          </w:p>
        </w:tc>
        <w:tc>
          <w:tcPr>
            <w:tcW w:type="dxa" w:w="2760"/>
            <w:shd w:fill="F2F6F9" w:val="clear"/>
            <w:tcMar>
              <w:top w:type="dxa" w:w="50"/>
              <w:left w:type="dxa" w:w="100"/>
              <w:bottom w:type="dxa" w:w="50"/>
              <w:right w:type="dxa" w:w="100"/>
            </w:tcMar>
          </w:tcPr>
          <w:p>
            <w:r>
              <w:rPr>
                <w:b w:val="false"/>
                <w:bCs w:val="false"/>
                <w:color w:val="1B2A38"/>
                <w:sz w:val="20"/>
                <w:szCs w:val="20"/>
              </w:rPr>
              <w:t xml:space="preserve">1.00</w:t>
            </w:r>
          </w:p>
        </w:tc>
      </w:tr>
    </w:tbl>
    <w:p>
      <w:pPr>
        <w:spacing w:after="60"/>
      </w:pPr>
      <w:r>
        <w:rPr>
          <w:sz w:val="22"/>
          <w:szCs w:val="22"/>
        </w:rPr>
        <w:t xml:space="preserve"/>
      </w:r>
    </w:p>
    <w:tbl>
      <w:tblPr>
        <w:tblW w:type="dxa" w:w="9360"/>
        <w:tblBorders>
          <w:top w:val="single" w:color="0090DA" w:sz="2"/>
          <w:left w:val="single" w:color="0090DA" w:sz="18"/>
          <w:bottom w:val="single" w:color="0090DA" w:sz="2"/>
          <w:right w:val="single" w:color="0090DA" w:sz="2"/>
          <w:insideH w:val="none"/>
          <w:insideV w:val="none"/>
        </w:tblBorders>
      </w:tblPr>
      <w:tblGrid>
        <w:gridCol w:w="9360"/>
      </w:tblGrid>
      <w:tr>
        <w:tc>
          <w:tcPr>
            <w:tcW w:type="dxa" w:w="9360"/>
            <w:shd w:fill="F4FAF6" w:val="clear"/>
            <w:tcMar>
              <w:top w:type="dxa" w:w="120"/>
              <w:left w:type="dxa" w:w="180"/>
              <w:bottom w:type="dxa" w:w="120"/>
              <w:right w:type="dxa" w:w="180"/>
            </w:tcMar>
          </w:tcPr>
          <w:p>
            <w:pPr>
              <w:spacing w:after="60"/>
            </w:pPr>
            <w:r>
              <w:rPr>
                <w:b/>
                <w:bCs/>
                <w:color w:val="0090DA"/>
                <w:sz w:val="22"/>
                <w:szCs w:val="22"/>
              </w:rPr>
              <w:t xml:space="preserve">Answer — no multicollinearity present</w:t>
            </w:r>
          </w:p>
          <w:p>
            <w:r>
              <w:rPr>
                <w:color w:val="1B2A38"/>
                <w:sz w:val="21"/>
                <w:szCs w:val="21"/>
              </w:rPr>
              <w:t xml:space="preserve">Every inter-predictor correlation is ≈ 0 and all VIFs ≈ 1.0 (a VIF above 5 would signal a problem). No feature pair is redundant, so no feature needed to be dropped or combined. As a safeguard we still used L2-regularized Logistic Regression, which is stable even if mild collinearity were introduced by future data.</w:t>
            </w:r>
          </w:p>
        </w:tc>
      </w:tr>
    </w:tbl>
    <w:p>
      <w:r>
        <w:br w:type="page"/>
      </w:r>
    </w:p>
    <w:p>
      <w:pPr>
        <w:pStyle w:val="Heading1"/>
        <w:spacing w:after="120" w:before="240"/>
      </w:pPr>
      <w:r>
        <w:rPr>
          <w:b/>
          <w:bCs/>
          <w:color w:val="1B2A38"/>
        </w:rPr>
        <w:t xml:space="preserve">Q3 · Model Selection &amp; Performance Metrics</w:t>
      </w:r>
    </w:p>
    <w:p>
      <w:pPr>
        <w:pStyle w:val="Heading2"/>
        <w:spacing w:after="80" w:before="180"/>
      </w:pPr>
      <w:r>
        <w:rPr>
          <w:b/>
          <w:bCs/>
          <w:color w:val="0090DA"/>
        </w:rPr>
        <w:t xml:space="preserve">Why prioritise F1 / AUROC over Accuracy?</w:t>
      </w:r>
    </w:p>
    <w:p>
      <w:pPr>
        <w:spacing w:after="120" w:line="276"/>
      </w:pPr>
      <w:r>
        <w:rPr>
          <w:sz w:val="22"/>
          <w:szCs w:val="22"/>
        </w:rPr>
        <w:t xml:space="preserve">The target is </w:t>
      </w:r>
      <w:r>
        <w:rPr>
          <w:b/>
          <w:bCs/>
          <w:sz w:val="22"/>
          <w:szCs w:val="22"/>
        </w:rPr>
        <w:t xml:space="preserve">45.68% high-risk</w:t>
      </w:r>
      <w:r>
        <w:rPr>
          <w:sz w:val="22"/>
          <w:szCs w:val="22"/>
        </w:rPr>
        <w:t xml:space="preserve"> — close to balanced, not the extreme imbalance these questions often assume. That honesty matters: with a ~46/54 split, plain accuracy is </w:t>
      </w:r>
      <w:r>
        <w:rPr>
          <w:i/>
          <w:iCs/>
          <w:sz w:val="22"/>
          <w:szCs w:val="22"/>
        </w:rPr>
        <w:t xml:space="preserve">less</w:t>
      </w:r>
      <w:r>
        <w:rPr>
          <w:sz w:val="22"/>
          <w:szCs w:val="22"/>
        </w:rPr>
        <w:t xml:space="preserve"> misleading here than in a 1%-fraud problem. But we still lead with AUROC and F1 for two reasons:</w:t>
      </w:r>
    </w:p>
    <w:p>
      <w:pPr>
        <w:pStyle w:val="ListParagraph"/>
        <w:numPr>
          <w:ilvl w:val="0"/>
          <w:numId w:val="1"/>
        </w:numPr>
        <w:spacing w:after="80"/>
      </w:pPr>
      <w:r>
        <w:rPr>
          <w:b/>
          <w:bCs/>
          <w:sz w:val="22"/>
          <w:szCs w:val="22"/>
        </w:rPr>
        <w:t xml:space="preserve">Asymmetric business cost.</w:t>
      </w:r>
      <w:r>
        <w:rPr>
          <w:sz w:val="22"/>
          <w:szCs w:val="22"/>
        </w:rPr>
        <w:t xml:space="preserve"> A false negative (missing a high-risk customer) damages the loss ratio far more than a false positive. Accuracy weights both errors equally; F1 and the full ROC do not.</w:t>
      </w:r>
    </w:p>
    <w:p>
      <w:pPr>
        <w:pStyle w:val="ListParagraph"/>
        <w:numPr>
          <w:ilvl w:val="0"/>
          <w:numId w:val="1"/>
        </w:numPr>
        <w:spacing w:after="80"/>
      </w:pPr>
      <w:r>
        <w:rPr>
          <w:b/>
          <w:bCs/>
          <w:sz w:val="22"/>
          <w:szCs w:val="22"/>
        </w:rPr>
        <w:t xml:space="preserve">Threshold independence.</w:t>
      </w:r>
      <w:r>
        <w:rPr>
          <w:sz w:val="22"/>
          <w:szCs w:val="22"/>
        </w:rPr>
        <w:t xml:space="preserve"> AUROC measures ranking quality across every threshold, so we can choose the operating point by business cost (Q4) rather than being locked to 0.50.</w:t>
      </w:r>
    </w:p>
    <w:p>
      <w:pPr>
        <w:pStyle w:val="Heading2"/>
        <w:spacing w:after="80" w:before="180"/>
      </w:pPr>
      <w:r>
        <w:rPr>
          <w:b/>
          <w:bCs/>
          <w:color w:val="0090DA"/>
        </w:rPr>
        <w:t xml:space="preserve">Model bake-off</w:t>
      </w:r>
    </w:p>
    <w:p>
      <w:pPr>
        <w:spacing w:after="60" w:before="120"/>
        <w:jc w:val="center"/>
      </w:pPr>
      <w:r>
        <w:drawing>
          <wp:inline distT="0" distB="0" distL="0" distR="0">
            <wp:extent cx="3619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048000"/>
                    </a:xfrm>
                    <a:prstGeom prst="rect">
                      <a:avLst/>
                    </a:prstGeom>
                  </pic:spPr>
                </pic:pic>
              </a:graphicData>
            </a:graphic>
          </wp:inline>
        </w:drawing>
      </w:r>
    </w:p>
    <w:p>
      <w:pPr>
        <w:spacing w:after="200"/>
        <w:jc w:val="center"/>
      </w:pPr>
      <w:r>
        <w:rPr>
          <w:i/>
          <w:iCs/>
          <w:color w:val="5B6770"/>
          <w:sz w:val="18"/>
          <w:szCs w:val="18"/>
        </w:rPr>
        <w:t xml:space="preserve">Figure 4. ROC curves. Logistic Regression matches or beats the tree ensembles.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1600"/>
        <w:gridCol w:w="1600"/>
        <w:gridCol w:w="1600"/>
        <w:gridCol w:w="1560"/>
      </w:tblGrid>
      <w:tr>
        <w:trPr>
          <w:tblHeader/>
        </w:trPr>
        <w:tc>
          <w:tcPr>
            <w:tcW w:type="dxa" w:w="3000"/>
            <w:shd w:fill="0090DA" w:val="clear"/>
            <w:tcMar>
              <w:top w:type="dxa" w:w="60"/>
              <w:left w:type="dxa" w:w="100"/>
              <w:bottom w:type="dxa" w:w="60"/>
              <w:right w:type="dxa" w:w="100"/>
            </w:tcMar>
          </w:tcPr>
          <w:p>
            <w:r>
              <w:rPr>
                <w:b/>
                <w:bCs/>
                <w:color w:val="FFFFFF"/>
                <w:sz w:val="20"/>
                <w:szCs w:val="20"/>
              </w:rPr>
              <w:t xml:space="preserve">Model</w:t>
            </w:r>
          </w:p>
        </w:tc>
        <w:tc>
          <w:tcPr>
            <w:tcW w:type="dxa" w:w="1600"/>
            <w:shd w:fill="0090DA" w:val="clear"/>
            <w:tcMar>
              <w:top w:type="dxa" w:w="60"/>
              <w:left w:type="dxa" w:w="100"/>
              <w:bottom w:type="dxa" w:w="60"/>
              <w:right w:type="dxa" w:w="100"/>
            </w:tcMar>
          </w:tcPr>
          <w:p>
            <w:r>
              <w:rPr>
                <w:b/>
                <w:bCs/>
                <w:color w:val="FFFFFF"/>
                <w:sz w:val="20"/>
                <w:szCs w:val="20"/>
              </w:rPr>
              <w:t xml:space="preserve">AUROC</w:t>
            </w:r>
          </w:p>
        </w:tc>
        <w:tc>
          <w:tcPr>
            <w:tcW w:type="dxa" w:w="1600"/>
            <w:shd w:fill="0090DA" w:val="clear"/>
            <w:tcMar>
              <w:top w:type="dxa" w:w="60"/>
              <w:left w:type="dxa" w:w="100"/>
              <w:bottom w:type="dxa" w:w="60"/>
              <w:right w:type="dxa" w:w="100"/>
            </w:tcMar>
          </w:tcPr>
          <w:p>
            <w:r>
              <w:rPr>
                <w:b/>
                <w:bCs/>
                <w:color w:val="FFFFFF"/>
                <w:sz w:val="20"/>
                <w:szCs w:val="20"/>
              </w:rPr>
              <w:t xml:space="preserve">F1</w:t>
            </w:r>
          </w:p>
        </w:tc>
        <w:tc>
          <w:tcPr>
            <w:tcW w:type="dxa" w:w="1600"/>
            <w:shd w:fill="0090DA" w:val="clear"/>
            <w:tcMar>
              <w:top w:type="dxa" w:w="60"/>
              <w:left w:type="dxa" w:w="100"/>
              <w:bottom w:type="dxa" w:w="60"/>
              <w:right w:type="dxa" w:w="100"/>
            </w:tcMar>
          </w:tcPr>
          <w:p>
            <w:r>
              <w:rPr>
                <w:b/>
                <w:bCs/>
                <w:color w:val="FFFFFF"/>
                <w:sz w:val="20"/>
                <w:szCs w:val="20"/>
              </w:rPr>
              <w:t xml:space="preserve">Accuracy</w:t>
            </w:r>
          </w:p>
        </w:tc>
        <w:tc>
          <w:tcPr>
            <w:tcW w:type="dxa" w:w="1560"/>
            <w:shd w:fill="0090DA" w:val="clear"/>
            <w:tcMar>
              <w:top w:type="dxa" w:w="60"/>
              <w:left w:type="dxa" w:w="100"/>
              <w:bottom w:type="dxa" w:w="60"/>
              <w:right w:type="dxa" w:w="100"/>
            </w:tcMar>
          </w:tcPr>
          <w:p>
            <w:r>
              <w:rPr>
                <w:b/>
                <w:bCs/>
                <w:color w:val="FFFFFF"/>
                <w:sz w:val="20"/>
                <w:szCs w:val="20"/>
              </w:rPr>
              <w:t xml:space="preserve">PR-AUC</w:t>
            </w:r>
          </w:p>
        </w:tc>
      </w:tr>
      <w:tr>
        <w:tc>
          <w:tcPr>
            <w:tcW w:type="dxa" w:w="3000"/>
            <w:shd w:fill="FFFFFF" w:val="clear"/>
            <w:tcMar>
              <w:top w:type="dxa" w:w="50"/>
              <w:left w:type="dxa" w:w="100"/>
              <w:bottom w:type="dxa" w:w="50"/>
              <w:right w:type="dxa" w:w="100"/>
            </w:tcMar>
          </w:tcPr>
          <w:p>
            <w:r>
              <w:rPr>
                <w:b/>
                <w:bCs/>
                <w:color w:val="1B2A38"/>
                <w:sz w:val="20"/>
                <w:szCs w:val="20"/>
              </w:rPr>
              <w:t xml:space="preserve">Logistic Regression ✓</w:t>
            </w:r>
          </w:p>
        </w:tc>
        <w:tc>
          <w:tcPr>
            <w:tcW w:type="dxa" w:w="1600"/>
            <w:shd w:fill="FFFFFF" w:val="clear"/>
            <w:tcMar>
              <w:top w:type="dxa" w:w="50"/>
              <w:left w:type="dxa" w:w="100"/>
              <w:bottom w:type="dxa" w:w="50"/>
              <w:right w:type="dxa" w:w="100"/>
            </w:tcMar>
          </w:tcPr>
          <w:p>
            <w:r>
              <w:rPr>
                <w:b w:val="false"/>
                <w:bCs w:val="false"/>
                <w:color w:val="1B2A38"/>
                <w:sz w:val="20"/>
                <w:szCs w:val="20"/>
              </w:rPr>
              <w:t xml:space="preserve">0.7803</w:t>
            </w:r>
          </w:p>
        </w:tc>
        <w:tc>
          <w:tcPr>
            <w:tcW w:type="dxa" w:w="1600"/>
            <w:shd w:fill="FFFFFF" w:val="clear"/>
            <w:tcMar>
              <w:top w:type="dxa" w:w="50"/>
              <w:left w:type="dxa" w:w="100"/>
              <w:bottom w:type="dxa" w:w="50"/>
              <w:right w:type="dxa" w:w="100"/>
            </w:tcMar>
          </w:tcPr>
          <w:p>
            <w:r>
              <w:rPr>
                <w:b w:val="false"/>
                <w:bCs w:val="false"/>
                <w:color w:val="1B2A38"/>
                <w:sz w:val="20"/>
                <w:szCs w:val="20"/>
              </w:rPr>
              <w:t xml:space="preserve">0.6739</w:t>
            </w:r>
          </w:p>
        </w:tc>
        <w:tc>
          <w:tcPr>
            <w:tcW w:type="dxa" w:w="1600"/>
            <w:shd w:fill="FFFFFF" w:val="clear"/>
            <w:tcMar>
              <w:top w:type="dxa" w:w="50"/>
              <w:left w:type="dxa" w:w="100"/>
              <w:bottom w:type="dxa" w:w="50"/>
              <w:right w:type="dxa" w:w="100"/>
            </w:tcMar>
          </w:tcPr>
          <w:p>
            <w:r>
              <w:rPr>
                <w:b w:val="false"/>
                <w:bCs w:val="false"/>
                <w:color w:val="1B2A38"/>
                <w:sz w:val="20"/>
                <w:szCs w:val="20"/>
              </w:rPr>
              <w:t xml:space="preserve">0.7108</w:t>
            </w:r>
          </w:p>
        </w:tc>
        <w:tc>
          <w:tcPr>
            <w:tcW w:type="dxa" w:w="1560"/>
            <w:shd w:fill="FFFFFF" w:val="clear"/>
            <w:tcMar>
              <w:top w:type="dxa" w:w="50"/>
              <w:left w:type="dxa" w:w="100"/>
              <w:bottom w:type="dxa" w:w="50"/>
              <w:right w:type="dxa" w:w="100"/>
            </w:tcMar>
          </w:tcPr>
          <w:p>
            <w:r>
              <w:rPr>
                <w:b w:val="false"/>
                <w:bCs w:val="false"/>
                <w:color w:val="1B2A38"/>
                <w:sz w:val="20"/>
                <w:szCs w:val="20"/>
              </w:rPr>
              <w:t xml:space="preserve">0.7369</w:t>
            </w:r>
          </w:p>
        </w:tc>
      </w:tr>
      <w:tr>
        <w:tc>
          <w:tcPr>
            <w:tcW w:type="dxa" w:w="3000"/>
            <w:shd w:fill="F2F6F9" w:val="clear"/>
            <w:tcMar>
              <w:top w:type="dxa" w:w="50"/>
              <w:left w:type="dxa" w:w="100"/>
              <w:bottom w:type="dxa" w:w="50"/>
              <w:right w:type="dxa" w:w="100"/>
            </w:tcMar>
          </w:tcPr>
          <w:p>
            <w:r>
              <w:rPr>
                <w:b/>
                <w:bCs/>
                <w:color w:val="1B2A38"/>
                <w:sz w:val="20"/>
                <w:szCs w:val="20"/>
              </w:rPr>
              <w:t xml:space="preserve">Gradient Boosting</w:t>
            </w:r>
          </w:p>
        </w:tc>
        <w:tc>
          <w:tcPr>
            <w:tcW w:type="dxa" w:w="1600"/>
            <w:shd w:fill="F2F6F9" w:val="clear"/>
            <w:tcMar>
              <w:top w:type="dxa" w:w="50"/>
              <w:left w:type="dxa" w:w="100"/>
              <w:bottom w:type="dxa" w:w="50"/>
              <w:right w:type="dxa" w:w="100"/>
            </w:tcMar>
          </w:tcPr>
          <w:p>
            <w:r>
              <w:rPr>
                <w:b w:val="false"/>
                <w:bCs w:val="false"/>
                <w:color w:val="1B2A38"/>
                <w:sz w:val="20"/>
                <w:szCs w:val="20"/>
              </w:rPr>
              <w:t xml:space="preserve">0.7796</w:t>
            </w:r>
          </w:p>
        </w:tc>
        <w:tc>
          <w:tcPr>
            <w:tcW w:type="dxa" w:w="1600"/>
            <w:shd w:fill="F2F6F9" w:val="clear"/>
            <w:tcMar>
              <w:top w:type="dxa" w:w="50"/>
              <w:left w:type="dxa" w:w="100"/>
              <w:bottom w:type="dxa" w:w="50"/>
              <w:right w:type="dxa" w:w="100"/>
            </w:tcMar>
          </w:tcPr>
          <w:p>
            <w:r>
              <w:rPr>
                <w:b w:val="false"/>
                <w:bCs w:val="false"/>
                <w:color w:val="1B2A38"/>
                <w:sz w:val="20"/>
                <w:szCs w:val="20"/>
              </w:rPr>
              <w:t xml:space="preserve">0.669</w:t>
            </w:r>
          </w:p>
        </w:tc>
        <w:tc>
          <w:tcPr>
            <w:tcW w:type="dxa" w:w="1600"/>
            <w:shd w:fill="F2F6F9" w:val="clear"/>
            <w:tcMar>
              <w:top w:type="dxa" w:w="50"/>
              <w:left w:type="dxa" w:w="100"/>
              <w:bottom w:type="dxa" w:w="50"/>
              <w:right w:type="dxa" w:w="100"/>
            </w:tcMar>
          </w:tcPr>
          <w:p>
            <w:r>
              <w:rPr>
                <w:b w:val="false"/>
                <w:bCs w:val="false"/>
                <w:color w:val="1B2A38"/>
                <w:sz w:val="20"/>
                <w:szCs w:val="20"/>
              </w:rPr>
              <w:t xml:space="preserve">0.706</w:t>
            </w:r>
          </w:p>
        </w:tc>
        <w:tc>
          <w:tcPr>
            <w:tcW w:type="dxa" w:w="1560"/>
            <w:shd w:fill="F2F6F9" w:val="clear"/>
            <w:tcMar>
              <w:top w:type="dxa" w:w="50"/>
              <w:left w:type="dxa" w:w="100"/>
              <w:bottom w:type="dxa" w:w="50"/>
              <w:right w:type="dxa" w:w="100"/>
            </w:tcMar>
          </w:tcPr>
          <w:p>
            <w:r>
              <w:rPr>
                <w:b w:val="false"/>
                <w:bCs w:val="false"/>
                <w:color w:val="1B2A38"/>
                <w:sz w:val="20"/>
                <w:szCs w:val="20"/>
              </w:rPr>
              <w:t xml:space="preserve">0.737</w:t>
            </w:r>
          </w:p>
        </w:tc>
      </w:tr>
      <w:tr>
        <w:tc>
          <w:tcPr>
            <w:tcW w:type="dxa" w:w="3000"/>
            <w:shd w:fill="FFFFFF" w:val="clear"/>
            <w:tcMar>
              <w:top w:type="dxa" w:w="50"/>
              <w:left w:type="dxa" w:w="100"/>
              <w:bottom w:type="dxa" w:w="50"/>
              <w:right w:type="dxa" w:w="100"/>
            </w:tcMar>
          </w:tcPr>
          <w:p>
            <w:r>
              <w:rPr>
                <w:b/>
                <w:bCs/>
                <w:color w:val="1B2A38"/>
                <w:sz w:val="20"/>
                <w:szCs w:val="20"/>
              </w:rPr>
              <w:t xml:space="preserve">Random Forest</w:t>
            </w:r>
          </w:p>
        </w:tc>
        <w:tc>
          <w:tcPr>
            <w:tcW w:type="dxa" w:w="1600"/>
            <w:shd w:fill="FFFFFF" w:val="clear"/>
            <w:tcMar>
              <w:top w:type="dxa" w:w="50"/>
              <w:left w:type="dxa" w:w="100"/>
              <w:bottom w:type="dxa" w:w="50"/>
              <w:right w:type="dxa" w:w="100"/>
            </w:tcMar>
          </w:tcPr>
          <w:p>
            <w:r>
              <w:rPr>
                <w:b w:val="false"/>
                <w:bCs w:val="false"/>
                <w:color w:val="1B2A38"/>
                <w:sz w:val="20"/>
                <w:szCs w:val="20"/>
              </w:rPr>
              <w:t xml:space="preserve">0.7624</w:t>
            </w:r>
          </w:p>
        </w:tc>
        <w:tc>
          <w:tcPr>
            <w:tcW w:type="dxa" w:w="1600"/>
            <w:shd w:fill="FFFFFF" w:val="clear"/>
            <w:tcMar>
              <w:top w:type="dxa" w:w="50"/>
              <w:left w:type="dxa" w:w="100"/>
              <w:bottom w:type="dxa" w:w="50"/>
              <w:right w:type="dxa" w:w="100"/>
            </w:tcMar>
          </w:tcPr>
          <w:p>
            <w:r>
              <w:rPr>
                <w:b w:val="false"/>
                <w:bCs w:val="false"/>
                <w:color w:val="1B2A38"/>
                <w:sz w:val="20"/>
                <w:szCs w:val="20"/>
              </w:rPr>
              <w:t xml:space="preserve">0.6657</w:t>
            </w:r>
          </w:p>
        </w:tc>
        <w:tc>
          <w:tcPr>
            <w:tcW w:type="dxa" w:w="1600"/>
            <w:shd w:fill="FFFFFF" w:val="clear"/>
            <w:tcMar>
              <w:top w:type="dxa" w:w="50"/>
              <w:left w:type="dxa" w:w="100"/>
              <w:bottom w:type="dxa" w:w="50"/>
              <w:right w:type="dxa" w:w="100"/>
            </w:tcMar>
          </w:tcPr>
          <w:p>
            <w:r>
              <w:rPr>
                <w:b w:val="false"/>
                <w:bCs w:val="false"/>
                <w:color w:val="1B2A38"/>
                <w:sz w:val="20"/>
                <w:szCs w:val="20"/>
              </w:rPr>
              <w:t xml:space="preserve">0.7015</w:t>
            </w:r>
          </w:p>
        </w:tc>
        <w:tc>
          <w:tcPr>
            <w:tcW w:type="dxa" w:w="1560"/>
            <w:shd w:fill="FFFFFF" w:val="clear"/>
            <w:tcMar>
              <w:top w:type="dxa" w:w="50"/>
              <w:left w:type="dxa" w:w="100"/>
              <w:bottom w:type="dxa" w:w="50"/>
              <w:right w:type="dxa" w:w="100"/>
            </w:tcMar>
          </w:tcPr>
          <w:p>
            <w:r>
              <w:rPr>
                <w:b w:val="false"/>
                <w:bCs w:val="false"/>
                <w:color w:val="1B2A38"/>
                <w:sz w:val="20"/>
                <w:szCs w:val="20"/>
              </w:rPr>
              <w:t xml:space="preserve">0.7105</w:t>
            </w:r>
          </w:p>
        </w:tc>
      </w:tr>
    </w:tbl>
    <w:p>
      <w:pPr>
        <w:spacing w:after="100"/>
      </w:pPr>
    </w:p>
    <w:p>
      <w:pPr>
        <w:pStyle w:val="Heading2"/>
        <w:spacing w:after="80" w:before="180"/>
      </w:pPr>
      <w:r>
        <w:rPr>
          <w:b/>
          <w:bCs/>
          <w:color w:val="0090DA"/>
        </w:rPr>
        <w:t xml:space="preserve">Explainability of the chosen algorithm in insurance</w:t>
      </w:r>
    </w:p>
    <w:p>
      <w:pPr>
        <w:spacing w:after="120" w:line="276"/>
      </w:pPr>
      <w:r>
        <w:rPr>
          <w:b/>
          <w:bCs/>
          <w:color w:val="00A758"/>
          <w:sz w:val="22"/>
          <w:szCs w:val="22"/>
        </w:rPr>
        <w:t xml:space="preserve">Pros of Logistic Regression:</w:t>
      </w:r>
    </w:p>
    <w:p>
      <w:pPr>
        <w:pStyle w:val="ListParagraph"/>
        <w:numPr>
          <w:ilvl w:val="0"/>
          <w:numId w:val="1"/>
        </w:numPr>
        <w:spacing w:after="80"/>
      </w:pPr>
      <w:r>
        <w:rPr>
          <w:sz w:val="22"/>
          <w:szCs w:val="22"/>
        </w:rPr>
        <w:t xml:space="preserve">Every coefficient is an odds ratio — directly explainable to underwriters, auditors and regulators ("each standard-deviation of age roughly triples the odds of high risk").</w:t>
      </w:r>
    </w:p>
    <w:p>
      <w:pPr>
        <w:pStyle w:val="ListParagraph"/>
        <w:numPr>
          <w:ilvl w:val="0"/>
          <w:numId w:val="1"/>
        </w:numPr>
        <w:spacing w:after="80"/>
      </w:pPr>
      <w:r>
        <w:rPr>
          <w:sz w:val="22"/>
          <w:szCs w:val="22"/>
        </w:rPr>
        <w:t xml:space="preserve">Transparent, monotonic, and easy to monitor for fairness and drift — important under insurance regulation and for customer-facing adverse-action reasons.</w:t>
      </w:r>
    </w:p>
    <w:p>
      <w:pPr>
        <w:pStyle w:val="ListParagraph"/>
        <w:numPr>
          <w:ilvl w:val="0"/>
          <w:numId w:val="1"/>
        </w:numPr>
        <w:spacing w:after="80"/>
      </w:pPr>
      <w:r>
        <w:rPr>
          <w:sz w:val="22"/>
          <w:szCs w:val="22"/>
        </w:rPr>
        <w:t xml:space="preserve">Fast, stable, and here it is also the most accurate model.</w:t>
      </w:r>
    </w:p>
    <w:p>
      <w:pPr>
        <w:spacing w:after="120" w:line="276"/>
      </w:pPr>
      <w:r>
        <w:rPr>
          <w:b/>
          <w:bCs/>
          <w:color w:val="E4002B"/>
          <w:sz w:val="22"/>
          <w:szCs w:val="22"/>
        </w:rPr>
        <w:t xml:space="preserve">Cons / trade-offs:</w:t>
      </w:r>
    </w:p>
    <w:p>
      <w:pPr>
        <w:pStyle w:val="ListParagraph"/>
        <w:numPr>
          <w:ilvl w:val="0"/>
          <w:numId w:val="1"/>
        </w:numPr>
        <w:spacing w:after="80"/>
      </w:pPr>
      <w:r>
        <w:rPr>
          <w:sz w:val="22"/>
          <w:szCs w:val="22"/>
        </w:rPr>
        <w:t xml:space="preserve">Assumes a (log-odds) linear relationship, so it cannot automatically capture complex interactions or thresholds; those must be added as engineered features.</w:t>
      </w:r>
    </w:p>
    <w:p>
      <w:pPr>
        <w:pStyle w:val="ListParagraph"/>
        <w:numPr>
          <w:ilvl w:val="0"/>
          <w:numId w:val="1"/>
        </w:numPr>
        <w:spacing w:after="80"/>
      </w:pPr>
      <w:r>
        <w:rPr>
          <w:sz w:val="22"/>
          <w:szCs w:val="22"/>
        </w:rPr>
        <w:t xml:space="preserve">On datasets with strong nonlinearity a gradient-boosted model could pull ahead — but here it did not, so the added opacity is not justified.</w:t>
      </w:r>
    </w:p>
    <w:p>
      <w:r>
        <w:br w:type="page"/>
      </w:r>
    </w:p>
    <w:p>
      <w:pPr>
        <w:pStyle w:val="Heading1"/>
        <w:spacing w:after="120" w:before="240"/>
      </w:pPr>
      <w:r>
        <w:rPr>
          <w:b/>
          <w:bCs/>
          <w:color w:val="1B2A38"/>
        </w:rPr>
        <w:t xml:space="preserve">Q4 · Business Insights</w:t>
      </w:r>
    </w:p>
    <w:p>
      <w:pPr>
        <w:pStyle w:val="Heading2"/>
        <w:spacing w:after="80" w:before="180"/>
      </w:pPr>
      <w:r>
        <w:rPr>
          <w:b/>
          <w:bCs/>
          <w:color w:val="0090DA"/>
        </w:rPr>
        <w:t xml:space="preserve">Top feature importances</w:t>
      </w:r>
    </w:p>
    <w:p>
      <w:pPr>
        <w:spacing w:after="60" w:before="120"/>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62250"/>
                    </a:xfrm>
                    <a:prstGeom prst="rect">
                      <a:avLst/>
                    </a:prstGeom>
                  </pic:spPr>
                </pic:pic>
              </a:graphicData>
            </a:graphic>
          </wp:inline>
        </w:drawing>
      </w:r>
    </w:p>
    <w:p>
      <w:pPr>
        <w:spacing w:after="200"/>
        <w:jc w:val="center"/>
      </w:pPr>
      <w:r>
        <w:rPr>
          <w:i/>
          <w:iCs/>
          <w:color w:val="5B6770"/>
          <w:sz w:val="18"/>
          <w:szCs w:val="18"/>
        </w:rPr>
        <w:t xml:space="preserve">Figure 5. Permutation importance (drop in AUROC when a feature is shuffled).</w:t>
      </w:r>
    </w:p>
    <w:p>
      <w:pPr>
        <w:spacing w:after="120" w:line="276"/>
      </w:pPr>
      <w:r>
        <w:rPr>
          <w:sz w:val="22"/>
          <w:szCs w:val="22"/>
        </w:rPr>
        <w:t xml:space="preserve">The model is driven, in order, by </w:t>
      </w:r>
      <w:r>
        <w:rPr>
          <w:b/>
          <w:bCs/>
          <w:sz w:val="22"/>
          <w:szCs w:val="22"/>
        </w:rPr>
        <w:t xml:space="preserve">age</w:t>
      </w:r>
      <w:r>
        <w:rPr>
          <w:sz w:val="22"/>
          <w:szCs w:val="22"/>
        </w:rPr>
        <w:t xml:space="preserve">, then </w:t>
      </w:r>
      <w:r>
        <w:rPr>
          <w:b/>
          <w:bCs/>
          <w:sz w:val="22"/>
          <w:szCs w:val="22"/>
        </w:rPr>
        <w:t xml:space="preserve">health_score</w:t>
      </w:r>
      <w:r>
        <w:rPr>
          <w:sz w:val="22"/>
          <w:szCs w:val="22"/>
        </w:rPr>
        <w:t xml:space="preserve">, then </w:t>
      </w:r>
      <w:r>
        <w:rPr>
          <w:b/>
          <w:bCs/>
          <w:sz w:val="22"/>
          <w:szCs w:val="22"/>
        </w:rPr>
        <w:t xml:space="preserve">has_chronic_disease</w:t>
      </w:r>
      <w:r>
        <w:rPr>
          <w:sz w:val="22"/>
          <w:szCs w:val="22"/>
        </w:rPr>
        <w:t xml:space="preserve">. In odds-ratio terms: age has an OR ≈ </w:t>
      </w:r>
      <w:r>
        <w:rPr>
          <w:b/>
          <w:bCs/>
          <w:sz w:val="22"/>
          <w:szCs w:val="22"/>
        </w:rPr>
        <w:t xml:space="preserve">2.905</w:t>
      </w:r>
      <w:r>
        <w:rPr>
          <w:sz w:val="22"/>
          <w:szCs w:val="22"/>
        </w:rPr>
        <w:t xml:space="preserve"> (a one-SD increase in age roughly triples the odds of high risk), health_score has an OR ≈ </w:t>
      </w:r>
      <w:r>
        <w:rPr>
          <w:b/>
          <w:bCs/>
          <w:sz w:val="22"/>
          <w:szCs w:val="22"/>
        </w:rPr>
        <w:t xml:space="preserve">0.552</w:t>
      </w:r>
      <w:r>
        <w:rPr>
          <w:sz w:val="22"/>
          <w:szCs w:val="22"/>
        </w:rPr>
        <w:t xml:space="preserve"> (protective — higher score lowers risk), and chronic disease adds a smaller upward push (OR ≈ </w:t>
      </w:r>
      <w:r>
        <w:rPr>
          <w:b/>
          <w:bCs/>
          <w:sz w:val="22"/>
          <w:szCs w:val="22"/>
        </w:rPr>
        <w:t xml:space="preserve">1.241</w:t>
      </w:r>
      <w:r>
        <w:rPr>
          <w:sz w:val="22"/>
          <w:szCs w:val="22"/>
        </w:rPr>
        <w:t xml:space="preserve">). Income, BMI and past claims contribute almost nothing.</w:t>
      </w:r>
    </w:p>
    <w:p>
      <w:pPr>
        <w:pStyle w:val="Heading2"/>
        <w:spacing w:after="80" w:before="180"/>
      </w:pPr>
      <w:r>
        <w:rPr>
          <w:b/>
          <w:bCs/>
          <w:color w:val="0090DA"/>
        </w:rPr>
        <w:t xml:space="preserve">Should we raise or lower the probability threshold?</w:t>
      </w:r>
    </w:p>
    <w:p>
      <w:pPr>
        <w:spacing w:after="60" w:before="12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857500"/>
                    </a:xfrm>
                    <a:prstGeom prst="rect">
                      <a:avLst/>
                    </a:prstGeom>
                  </pic:spPr>
                </pic:pic>
              </a:graphicData>
            </a:graphic>
          </wp:inline>
        </w:drawing>
      </w:r>
    </w:p>
    <w:p>
      <w:pPr>
        <w:spacing w:after="200"/>
        <w:jc w:val="center"/>
      </w:pPr>
      <w:r>
        <w:rPr>
          <w:i/>
          <w:iCs/>
          <w:color w:val="5B6770"/>
          <w:sz w:val="18"/>
          <w:szCs w:val="18"/>
        </w:rPr>
        <w:t xml:space="preserve">Figure 6. Total business cost vs. threshold when a miss costs 10× an over-flag.</w:t>
      </w:r>
    </w:p>
    <w:p>
      <w:pPr>
        <w:spacing w:after="120" w:line="276"/>
      </w:pPr>
      <w:r>
        <w:rPr>
          <w:sz w:val="22"/>
          <w:szCs w:val="22"/>
        </w:rPr>
        <w:t xml:space="preserve">The </w:t>
      </w:r>
      <w:r>
        <w:rPr>
          <w:b/>
          <w:bCs/>
          <w:sz w:val="22"/>
          <w:szCs w:val="22"/>
        </w:rPr>
        <w:t xml:space="preserve">loss ratio</w:t>
      </w:r>
      <w:r>
        <w:rPr>
          <w:sz w:val="22"/>
          <w:szCs w:val="22"/>
        </w:rPr>
        <w:t xml:space="preserve"> = claims paid ÷ premiums earned. A </w:t>
      </w:r>
      <w:r>
        <w:rPr>
          <w:b/>
          <w:bCs/>
          <w:color w:val="E4002B"/>
          <w:sz w:val="22"/>
          <w:szCs w:val="22"/>
        </w:rPr>
        <w:t xml:space="preserve">false negative</w:t>
      </w:r>
      <w:r>
        <w:rPr>
          <w:sz w:val="22"/>
          <w:szCs w:val="22"/>
        </w:rPr>
        <w:t xml:space="preserve"> — approving a truly high-risk customer at standard price — inflates future claims and pushes the loss ratio up. A </w:t>
      </w:r>
      <w:r>
        <w:rPr>
          <w:b/>
          <w:bCs/>
          <w:sz w:val="22"/>
          <w:szCs w:val="22"/>
        </w:rPr>
        <w:t xml:space="preserve">false positive</w:t>
      </w:r>
      <w:r>
        <w:rPr>
          <w:sz w:val="22"/>
          <w:szCs w:val="22"/>
        </w:rPr>
        <w:t xml:space="preserve"> merely adds friction or slightly overprices a safe customer. The two errors are </w:t>
      </w:r>
      <w:r>
        <w:rPr>
          <w:i/>
          <w:iCs/>
          <w:sz w:val="22"/>
          <w:szCs w:val="22"/>
        </w:rPr>
        <w:t xml:space="preserve">not</w:t>
      </w:r>
      <w:r>
        <w:rPr>
          <w:sz w:val="22"/>
          <w:szCs w:val="22"/>
        </w:rPr>
        <w:t xml:space="preserve"> equally costly.</w:t>
      </w:r>
    </w:p>
    <w:tbl>
      <w:tblPr>
        <w:tblW w:type="dxa" w:w="9360"/>
        <w:tblBorders>
          <w:top w:val="single" w:color="00A758" w:sz="2"/>
          <w:left w:val="single" w:color="00A758" w:sz="18"/>
          <w:bottom w:val="single" w:color="00A758" w:sz="2"/>
          <w:right w:val="single" w:color="00A758" w:sz="2"/>
          <w:insideH w:val="none"/>
          <w:insideV w:val="none"/>
        </w:tblBorders>
      </w:tblPr>
      <w:tblGrid>
        <w:gridCol w:w="9360"/>
      </w:tblGrid>
      <w:tr>
        <w:tc>
          <w:tcPr>
            <w:tcW w:type="dxa" w:w="9360"/>
            <w:shd w:fill="F4FAF6" w:val="clear"/>
            <w:tcMar>
              <w:top w:type="dxa" w:w="120"/>
              <w:left w:type="dxa" w:w="180"/>
              <w:bottom w:type="dxa" w:w="120"/>
              <w:right w:type="dxa" w:w="180"/>
            </w:tcMar>
          </w:tcPr>
          <w:p>
            <w:pPr>
              <w:spacing w:after="60"/>
            </w:pPr>
            <w:r>
              <w:rPr>
                <w:b/>
                <w:bCs/>
                <w:color w:val="00A758"/>
                <w:sz w:val="22"/>
                <w:szCs w:val="22"/>
              </w:rPr>
              <w:t xml:space="preserve">Answer — lower the threshold</w:t>
            </w:r>
          </w:p>
          <w:p>
            <w:r>
              <w:rPr>
                <w:color w:val="1B2A38"/>
                <w:sz w:val="21"/>
                <w:szCs w:val="21"/>
              </w:rPr>
              <w:t xml:space="preserve">Because missing a high-risk customer is the expensive error, the company should LOWER the decision threshold below 0.50, casting a wider net so fewer risky customers slip through to standard pricing. With an illustrative 10:1 miss-to-over-flag cost ratio, the loss-minimising threshold falls to about 0.08. Flagged customers are then routed to manual underwriting or risk-based pricing. The exact point is a business decision — which is why the app lets managers set the cost ratio and see the optimal threshold move in real time.</w:t>
            </w:r>
          </w:p>
        </w:tc>
      </w:tr>
    </w:tbl>
    <w:p>
      <w:r>
        <w:br w:type="page"/>
      </w:r>
    </w:p>
    <w:p>
      <w:pPr>
        <w:pStyle w:val="Heading1"/>
        <w:spacing w:after="120" w:before="240"/>
      </w:pPr>
      <w:r>
        <w:rPr>
          <w:b/>
          <w:bCs/>
          <w:color w:val="1B2A38"/>
        </w:rPr>
        <w:t xml:space="preserve">From Model to Business Value</w:t>
      </w:r>
    </w:p>
    <w:p>
      <w:pPr>
        <w:spacing w:after="120" w:line="276"/>
      </w:pPr>
      <w:r>
        <w:rPr>
          <w:sz w:val="22"/>
          <w:szCs w:val="22"/>
        </w:rPr>
        <w:t xml:space="preserve">A model only creates value when the business can use it. We delivered three assets beyond the notebook:</w:t>
      </w:r>
    </w:p>
    <w:p>
      <w:pPr>
        <w:pStyle w:val="ListParagraph"/>
        <w:numPr>
          <w:ilvl w:val="0"/>
          <w:numId w:val="1"/>
        </w:numPr>
        <w:spacing w:after="80"/>
      </w:pPr>
      <w:r>
        <w:rPr>
          <w:b/>
          <w:bCs/>
          <w:sz w:val="22"/>
          <w:szCs w:val="22"/>
        </w:rPr>
        <w:t xml:space="preserve">Interactive Streamlit app</w:t>
      </w:r>
      <w:r>
        <w:rPr>
          <w:sz w:val="22"/>
          <w:szCs w:val="22"/>
        </w:rPr>
        <w:t xml:space="preserve"> — an underwriter scores any applicant with sliders, sees a plain-English reason, explores the 60,000-customer portfolio by age/health band, and tunes the cost-based threshold. Deployable free on Streamlit Cloud.</w:t>
      </w:r>
    </w:p>
    <w:p>
      <w:pPr>
        <w:pStyle w:val="ListParagraph"/>
        <w:numPr>
          <w:ilvl w:val="0"/>
          <w:numId w:val="1"/>
        </w:numPr>
        <w:spacing w:after="80"/>
      </w:pPr>
      <w:r>
        <w:rPr>
          <w:b/>
          <w:bCs/>
          <w:sz w:val="22"/>
          <w:szCs w:val="22"/>
        </w:rPr>
        <w:t xml:space="preserve">GenAI underwriting assistant</w:t>
      </w:r>
      <w:r>
        <w:rPr>
          <w:sz w:val="22"/>
          <w:szCs w:val="22"/>
        </w:rPr>
        <w:t xml:space="preserve"> — a chatbot that answers questions like "what is the high-risk rate for customers over 60?". Answers are computed in Python first and only phrased by the LLM, so the numbers are always exact — a responsible-AI pattern with no hallucinated statistics.</w:t>
      </w:r>
    </w:p>
    <w:p>
      <w:pPr>
        <w:pStyle w:val="ListParagraph"/>
        <w:numPr>
          <w:ilvl w:val="0"/>
          <w:numId w:val="1"/>
        </w:numPr>
        <w:spacing w:after="80"/>
      </w:pPr>
      <w:r>
        <w:rPr>
          <w:b/>
          <w:bCs/>
          <w:sz w:val="22"/>
          <w:szCs w:val="22"/>
        </w:rPr>
        <w:t xml:space="preserve">This document + an executive deck</w:t>
      </w:r>
      <w:r>
        <w:rPr>
          <w:sz w:val="22"/>
          <w:szCs w:val="22"/>
        </w:rPr>
        <w:t xml:space="preserve"> — the analytical narrative for both technical and business audiences.</w:t>
      </w:r>
    </w:p>
    <w:p>
      <w:pPr>
        <w:pStyle w:val="Heading2"/>
        <w:spacing w:after="80" w:before="180"/>
      </w:pPr>
      <w:r>
        <w:rPr>
          <w:b/>
          <w:bCs/>
          <w:color w:val="0090DA"/>
        </w:rPr>
        <w:t xml:space="preserve">Recommended actions</w:t>
      </w:r>
    </w:p>
    <w:p>
      <w:pPr>
        <w:pStyle w:val="ListParagraph"/>
        <w:numPr>
          <w:ilvl w:val="0"/>
          <w:numId w:val="1"/>
        </w:numPr>
        <w:spacing w:after="80"/>
      </w:pPr>
      <w:r>
        <w:rPr>
          <w:sz w:val="22"/>
          <w:szCs w:val="22"/>
        </w:rPr>
        <w:t xml:space="preserve">Adopt the explainable Logistic Regression as the production scorer; keep gradient boosting as a challenger model.</w:t>
      </w:r>
    </w:p>
    <w:p>
      <w:pPr>
        <w:pStyle w:val="ListParagraph"/>
        <w:numPr>
          <w:ilvl w:val="0"/>
          <w:numId w:val="1"/>
        </w:numPr>
        <w:spacing w:after="80"/>
      </w:pPr>
      <w:r>
        <w:rPr>
          <w:sz w:val="22"/>
          <w:szCs w:val="22"/>
        </w:rPr>
        <w:t xml:space="preserve">Operate below a 0.50 threshold, tuned to the current loss-ratio target; review quarterly.</w:t>
      </w:r>
    </w:p>
    <w:p>
      <w:pPr>
        <w:pStyle w:val="ListParagraph"/>
        <w:numPr>
          <w:ilvl w:val="0"/>
          <w:numId w:val="1"/>
        </w:numPr>
        <w:spacing w:after="80"/>
      </w:pPr>
      <w:r>
        <w:rPr>
          <w:sz w:val="22"/>
          <w:szCs w:val="22"/>
        </w:rPr>
        <w:t xml:space="preserve">Focus underwriting scrutiny on older and lower-health-score segments; de-emphasise income/BMI, which carry no signal here.</w:t>
      </w:r>
    </w:p>
    <w:p>
      <w:pPr>
        <w:pStyle w:val="ListParagraph"/>
        <w:numPr>
          <w:ilvl w:val="0"/>
          <w:numId w:val="1"/>
        </w:numPr>
        <w:spacing w:after="80"/>
      </w:pPr>
      <w:r>
        <w:rPr>
          <w:sz w:val="22"/>
          <w:szCs w:val="22"/>
        </w:rPr>
        <w:t xml:space="preserve">Roll out the app to underwriting teams as a decision-support tool, with the GenAI assistant for self-serve questions.</w:t>
      </w:r>
    </w:p>
    <w:tbl>
      <w:tblPr>
        <w:tblW w:type="dxa" w:w="9360"/>
        <w:tblBorders>
          <w:top w:val="single" w:color="0090DA" w:sz="2"/>
          <w:left w:val="single" w:color="0090DA" w:sz="18"/>
          <w:bottom w:val="single" w:color="0090DA" w:sz="2"/>
          <w:right w:val="single" w:color="0090DA" w:sz="2"/>
          <w:insideH w:val="none"/>
          <w:insideV w:val="none"/>
        </w:tblBorders>
      </w:tblPr>
      <w:tblGrid>
        <w:gridCol w:w="9360"/>
      </w:tblGrid>
      <w:tr>
        <w:tc>
          <w:tcPr>
            <w:tcW w:type="dxa" w:w="9360"/>
            <w:shd w:fill="F4FAF6" w:val="clear"/>
            <w:tcMar>
              <w:top w:type="dxa" w:w="120"/>
              <w:left w:type="dxa" w:w="180"/>
              <w:bottom w:type="dxa" w:w="120"/>
              <w:right w:type="dxa" w:w="180"/>
            </w:tcMar>
          </w:tcPr>
          <w:p>
            <w:pPr>
              <w:spacing w:after="60"/>
            </w:pPr>
            <w:r>
              <w:rPr>
                <w:b/>
                <w:bCs/>
                <w:color w:val="0090DA"/>
                <w:sz w:val="22"/>
                <w:szCs w:val="22"/>
              </w:rPr>
              <w:t xml:space="preserve">Responsible use</w:t>
            </w:r>
          </w:p>
          <w:p>
            <w:r>
              <w:rPr>
                <w:color w:val="1B2A38"/>
                <w:sz w:val="21"/>
                <w:szCs w:val="21"/>
              </w:rPr>
              <w:t xml:space="preserve">The model is a screening aid, not an automated decline engine. Use age and health-derived features in line with local regulation and fairness review; keep a human underwriter in the loop for adverse decisions.</w:t>
            </w:r>
          </w:p>
        </w:tc>
      </w:tr>
    </w:tbl>
    <w:p>
      <w:pPr>
        <w:pStyle w:val="Heading2"/>
        <w:spacing w:after="80" w:before="180"/>
      </w:pPr>
      <w:r>
        <w:rPr>
          <w:b/>
          <w:bCs/>
          <w:color w:val="0090DA"/>
        </w:rPr>
        <w:t xml:space="preserve">Appendix · Methodology</w:t>
      </w:r>
    </w:p>
    <w:p>
      <w:pPr>
        <w:spacing w:after="120" w:line="276"/>
      </w:pPr>
      <w:r>
        <w:rPr>
          <w:color w:val="5B6770"/>
          <w:sz w:val="20"/>
          <w:szCs w:val="20"/>
        </w:rPr>
        <w:t xml:space="preserve">60,000 rows, stratified 80/20 train/test split (random_state = 42). Pipeline: median imputation of annual_income → one-hot encoding of policy_type → standardisation → estimator. Age capped at 100. Metrics on the held-out test set. Fully reproducible via analysis.py.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B2A38"/>
      <w:sz w:val="32"/>
      <w:szCs w:val="32"/>
    </w:rPr>
  </w:style>
  <w:style w:type="paragraph" w:styleId="Heading2">
    <w:name w:val="Heading 2"/>
    <w:basedOn w:val="Normal"/>
    <w:next w:val="Normal"/>
    <w:qFormat/>
    <w:pPr>
      <w:spacing w:after="80" w:before="180"/>
    </w:pPr>
    <w:rPr>
      <w:b/>
      <w:bCs/>
      <w:color w:val="0090D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d0e83e3074ce495520eba85cd5fd4d63954f93.png"/><Relationship Id="rId8" Type="http://schemas.openxmlformats.org/officeDocument/2006/relationships/image" Target="media/563c133a8dca83ff990487be33ed841c8e3e7826.png"/><Relationship Id="rId9" Type="http://schemas.openxmlformats.org/officeDocument/2006/relationships/image" Target="media/3e19a96077c84e849623a22dc0a21a49f3bf22d8.png"/><Relationship Id="rId10" Type="http://schemas.openxmlformats.org/officeDocument/2006/relationships/image" Target="media/404512301be3df96b7cb44a761a86fd125ef9c8f.png"/><Relationship Id="rId11" Type="http://schemas.openxmlformats.org/officeDocument/2006/relationships/image" Target="media/a96883fb53ebf5c76e3ca85994e0f43e75510b26.png"/><Relationship Id="rId12" Type="http://schemas.openxmlformats.org/officeDocument/2006/relationships/image" Target="media/e24f9ec51f4cbb715f8c8b3cc7acdaaea255a0c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High-Risk Insurance Customers</dc:title>
  <dc:creator>MetLife Japan — Sr Data Scientist Assignment</dc:creator>
  <cp:lastModifiedBy>Un-named</cp:lastModifiedBy>
  <cp:revision>1</cp:revision>
  <dcterms:created xsi:type="dcterms:W3CDTF">2026-08-05T19:33:23.047Z</dcterms:created>
  <dcterms:modified xsi:type="dcterms:W3CDTF">2026-08-05T19:33:23.051Z</dcterms:modified>
</cp:coreProperties>
</file>

<file path=docProps/custom.xml><?xml version="1.0" encoding="utf-8"?>
<Properties xmlns="http://schemas.openxmlformats.org/officeDocument/2006/custom-properties" xmlns:vt="http://schemas.openxmlformats.org/officeDocument/2006/docPropsVTypes"/>
</file>