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905AA" w14:textId="67B0F2B9" w:rsidR="0094102D" w:rsidRPr="0051573A" w:rsidRDefault="00F92577" w:rsidP="00BA2275">
      <w:pPr>
        <w:spacing w:before="57" w:after="57" w:line="360" w:lineRule="auto"/>
        <w:jc w:val="both"/>
        <w:rPr>
          <w:rFonts w:ascii="Times New Roman" w:hAnsi="Times New Roman" w:cs="Times New Roman"/>
          <w:lang w:val="en-US"/>
        </w:rPr>
      </w:pPr>
      <w:r w:rsidRPr="0051573A">
        <w:rPr>
          <w:rFonts w:ascii="Times New Roman" w:hAnsi="Times New Roman" w:cs="Times New Roman"/>
          <w:b/>
          <w:bCs/>
          <w:lang w:val="en-US"/>
        </w:rPr>
        <w:t>Table 1</w:t>
      </w:r>
      <w:r w:rsidR="0051573A">
        <w:rPr>
          <w:rFonts w:ascii="Times New Roman" w:hAnsi="Times New Roman" w:cs="Times New Roman"/>
          <w:b/>
          <w:bCs/>
          <w:lang w:val="en-US"/>
        </w:rPr>
        <w:t>.</w:t>
      </w:r>
      <w:r w:rsidRPr="0051573A">
        <w:rPr>
          <w:rFonts w:ascii="Times New Roman" w:hAnsi="Times New Roman" w:cs="Times New Roman"/>
          <w:lang w:val="en-US"/>
        </w:rPr>
        <w:t xml:space="preserve"> </w:t>
      </w:r>
      <w:r w:rsidRPr="0051573A">
        <w:rPr>
          <w:rFonts w:ascii="Times New Roman" w:hAnsi="Times New Roman" w:cs="Times New Roman"/>
          <w:b/>
          <w:bCs/>
          <w:lang w:val="en-US"/>
        </w:rPr>
        <w:t>Characteristics of datasets collected for the analysis</w:t>
      </w:r>
      <w:r w:rsidR="0051573A">
        <w:rPr>
          <w:rFonts w:ascii="Times New Roman" w:hAnsi="Times New Roman" w:cs="Times New Roman"/>
          <w:b/>
          <w:bCs/>
          <w:lang w:val="en-US"/>
        </w:rPr>
        <w:t>.</w:t>
      </w:r>
    </w:p>
    <w:tbl>
      <w:tblPr>
        <w:tblW w:w="14518" w:type="dxa"/>
        <w:tblInd w:w="-5" w:type="dxa"/>
        <w:tblLayout w:type="fixed"/>
        <w:tblCellMar>
          <w:top w:w="55" w:type="dxa"/>
          <w:left w:w="55" w:type="dxa"/>
          <w:bottom w:w="55" w:type="dxa"/>
          <w:right w:w="55" w:type="dxa"/>
        </w:tblCellMar>
        <w:tblLook w:val="0000" w:firstRow="0" w:lastRow="0" w:firstColumn="0" w:lastColumn="0" w:noHBand="0" w:noVBand="0"/>
      </w:tblPr>
      <w:tblGrid>
        <w:gridCol w:w="1598"/>
        <w:gridCol w:w="812"/>
        <w:gridCol w:w="992"/>
        <w:gridCol w:w="1276"/>
        <w:gridCol w:w="1134"/>
        <w:gridCol w:w="1134"/>
        <w:gridCol w:w="1134"/>
        <w:gridCol w:w="992"/>
        <w:gridCol w:w="1134"/>
        <w:gridCol w:w="993"/>
        <w:gridCol w:w="850"/>
        <w:gridCol w:w="2469"/>
      </w:tblGrid>
      <w:tr w:rsidR="00B7109B" w:rsidRPr="0051573A" w14:paraId="3AD7FBD4" w14:textId="77777777" w:rsidTr="00B7109B">
        <w:trPr>
          <w:trHeight w:val="1003"/>
        </w:trPr>
        <w:tc>
          <w:tcPr>
            <w:tcW w:w="1598" w:type="dxa"/>
            <w:tcBorders>
              <w:top w:val="single" w:sz="4" w:space="0" w:color="000000"/>
              <w:left w:val="single" w:sz="4" w:space="0" w:color="000000"/>
              <w:bottom w:val="single" w:sz="4" w:space="0" w:color="000000"/>
            </w:tcBorders>
            <w:shd w:val="clear" w:color="auto" w:fill="CCCCCC"/>
          </w:tcPr>
          <w:p w14:paraId="3D3B2F50" w14:textId="77777777" w:rsidR="00036AB2" w:rsidRPr="0051573A" w:rsidRDefault="00036AB2" w:rsidP="00BA2275">
            <w:pPr>
              <w:pStyle w:val="ad"/>
              <w:spacing w:line="312" w:lineRule="auto"/>
              <w:jc w:val="both"/>
              <w:rPr>
                <w:rFonts w:ascii="Times New Roman" w:hAnsi="Times New Roman" w:cs="Times New Roman"/>
                <w:sz w:val="22"/>
                <w:szCs w:val="22"/>
              </w:rPr>
            </w:pPr>
            <w:r w:rsidRPr="0051573A">
              <w:rPr>
                <w:rFonts w:ascii="Times New Roman" w:hAnsi="Times New Roman" w:cs="Times New Roman"/>
                <w:sz w:val="22"/>
                <w:szCs w:val="22"/>
              </w:rPr>
              <w:t xml:space="preserve">GEO </w:t>
            </w:r>
            <w:proofErr w:type="spellStart"/>
            <w:r w:rsidRPr="0051573A">
              <w:rPr>
                <w:rFonts w:ascii="Times New Roman" w:hAnsi="Times New Roman" w:cs="Times New Roman"/>
                <w:sz w:val="22"/>
                <w:szCs w:val="22"/>
              </w:rPr>
              <w:t>accession</w:t>
            </w:r>
            <w:proofErr w:type="spellEnd"/>
          </w:p>
        </w:tc>
        <w:tc>
          <w:tcPr>
            <w:tcW w:w="812" w:type="dxa"/>
            <w:tcBorders>
              <w:top w:val="single" w:sz="4" w:space="0" w:color="000000"/>
              <w:left w:val="single" w:sz="4" w:space="0" w:color="000000"/>
              <w:bottom w:val="single" w:sz="4" w:space="0" w:color="000000"/>
            </w:tcBorders>
            <w:shd w:val="clear" w:color="auto" w:fill="CCCCCC"/>
          </w:tcPr>
          <w:p w14:paraId="2292E0C3" w14:textId="18FFAD56" w:rsidR="00036AB2" w:rsidRPr="0051573A" w:rsidRDefault="008C4104" w:rsidP="00BA2275">
            <w:pPr>
              <w:pStyle w:val="ad"/>
              <w:spacing w:line="312" w:lineRule="auto"/>
              <w:jc w:val="both"/>
              <w:rPr>
                <w:rFonts w:ascii="Times New Roman" w:hAnsi="Times New Roman" w:cs="Times New Roman"/>
                <w:sz w:val="22"/>
                <w:szCs w:val="22"/>
                <w:lang w:val="en-US"/>
              </w:rPr>
            </w:pPr>
            <w:r w:rsidRPr="0051573A">
              <w:rPr>
                <w:rFonts w:ascii="Times New Roman" w:hAnsi="Times New Roman" w:cs="Times New Roman"/>
                <w:sz w:val="22"/>
                <w:szCs w:val="22"/>
                <w:lang w:val="en-US"/>
              </w:rPr>
              <w:t>S</w:t>
            </w:r>
            <w:proofErr w:type="spellStart"/>
            <w:r w:rsidR="00036AB2" w:rsidRPr="0051573A">
              <w:rPr>
                <w:rFonts w:ascii="Times New Roman" w:hAnsi="Times New Roman" w:cs="Times New Roman"/>
                <w:sz w:val="22"/>
                <w:szCs w:val="22"/>
              </w:rPr>
              <w:t>amples</w:t>
            </w:r>
            <w:proofErr w:type="spellEnd"/>
            <w:r w:rsidRPr="0051573A">
              <w:rPr>
                <w:rFonts w:ascii="Times New Roman" w:hAnsi="Times New Roman" w:cs="Times New Roman"/>
                <w:sz w:val="22"/>
                <w:szCs w:val="22"/>
                <w:lang w:val="en-US"/>
              </w:rPr>
              <w:t xml:space="preserve"> type</w:t>
            </w:r>
          </w:p>
        </w:tc>
        <w:tc>
          <w:tcPr>
            <w:tcW w:w="992" w:type="dxa"/>
            <w:tcBorders>
              <w:top w:val="single" w:sz="4" w:space="0" w:color="000000"/>
              <w:left w:val="single" w:sz="4" w:space="0" w:color="000000"/>
              <w:bottom w:val="single" w:sz="4" w:space="0" w:color="000000"/>
            </w:tcBorders>
            <w:shd w:val="clear" w:color="auto" w:fill="CCCCCC"/>
          </w:tcPr>
          <w:p w14:paraId="77C5645D" w14:textId="77777777" w:rsidR="00036AB2" w:rsidRPr="0051573A" w:rsidRDefault="00036AB2" w:rsidP="00BA2275">
            <w:pPr>
              <w:pStyle w:val="ad"/>
              <w:spacing w:line="312" w:lineRule="auto"/>
              <w:jc w:val="both"/>
              <w:rPr>
                <w:rFonts w:ascii="Times New Roman" w:hAnsi="Times New Roman" w:cs="Times New Roman"/>
                <w:sz w:val="22"/>
                <w:szCs w:val="22"/>
              </w:rPr>
            </w:pPr>
            <w:r w:rsidRPr="0051573A">
              <w:rPr>
                <w:rFonts w:ascii="Times New Roman" w:hAnsi="Times New Roman" w:cs="Times New Roman"/>
                <w:sz w:val="22"/>
                <w:szCs w:val="22"/>
              </w:rPr>
              <w:t>Platform</w:t>
            </w:r>
          </w:p>
        </w:tc>
        <w:tc>
          <w:tcPr>
            <w:tcW w:w="1276" w:type="dxa"/>
            <w:tcBorders>
              <w:top w:val="single" w:sz="4" w:space="0" w:color="000000"/>
              <w:left w:val="single" w:sz="4" w:space="0" w:color="000000"/>
              <w:bottom w:val="single" w:sz="4" w:space="0" w:color="000000"/>
            </w:tcBorders>
            <w:shd w:val="clear" w:color="auto" w:fill="CCCCCC"/>
          </w:tcPr>
          <w:p w14:paraId="6AA84795" w14:textId="77777777" w:rsidR="00036AB2" w:rsidRPr="0051573A" w:rsidRDefault="00036AB2" w:rsidP="00BA2275">
            <w:pPr>
              <w:pStyle w:val="ad"/>
              <w:spacing w:line="312" w:lineRule="auto"/>
              <w:jc w:val="both"/>
              <w:rPr>
                <w:rFonts w:ascii="Times New Roman" w:hAnsi="Times New Roman" w:cs="Times New Roman"/>
                <w:sz w:val="22"/>
                <w:szCs w:val="22"/>
                <w:lang w:val="en-US"/>
              </w:rPr>
            </w:pPr>
            <w:r w:rsidRPr="0051573A">
              <w:rPr>
                <w:rFonts w:ascii="Times New Roman" w:hAnsi="Times New Roman" w:cs="Times New Roman"/>
                <w:sz w:val="22"/>
                <w:szCs w:val="22"/>
                <w:lang w:val="en-US"/>
              </w:rPr>
              <w:t>Number of samples per group</w:t>
            </w:r>
          </w:p>
        </w:tc>
        <w:tc>
          <w:tcPr>
            <w:tcW w:w="1134" w:type="dxa"/>
            <w:tcBorders>
              <w:top w:val="single" w:sz="4" w:space="0" w:color="000000"/>
              <w:left w:val="single" w:sz="4" w:space="0" w:color="000000"/>
              <w:bottom w:val="single" w:sz="4" w:space="0" w:color="000000"/>
              <w:right w:val="single" w:sz="4" w:space="0" w:color="000000"/>
            </w:tcBorders>
            <w:shd w:val="clear" w:color="auto" w:fill="CCCCCC"/>
          </w:tcPr>
          <w:p w14:paraId="71F1FEE0" w14:textId="0071FB47" w:rsidR="00036AB2" w:rsidRPr="0051573A" w:rsidRDefault="00036AB2" w:rsidP="00BA2275">
            <w:pPr>
              <w:pStyle w:val="ad"/>
              <w:spacing w:line="312" w:lineRule="auto"/>
              <w:jc w:val="both"/>
              <w:rPr>
                <w:rFonts w:ascii="Times New Roman" w:hAnsi="Times New Roman" w:cs="Times New Roman"/>
                <w:sz w:val="22"/>
                <w:szCs w:val="22"/>
                <w:lang w:val="en-US"/>
              </w:rPr>
            </w:pPr>
            <w:r w:rsidRPr="0051573A">
              <w:rPr>
                <w:rFonts w:ascii="Times New Roman" w:hAnsi="Times New Roman" w:cs="Times New Roman"/>
                <w:sz w:val="22"/>
                <w:szCs w:val="22"/>
                <w:lang w:val="en-US"/>
              </w:rPr>
              <w:t>RIF definition</w:t>
            </w:r>
          </w:p>
        </w:tc>
        <w:tc>
          <w:tcPr>
            <w:tcW w:w="1134" w:type="dxa"/>
            <w:tcBorders>
              <w:top w:val="single" w:sz="4" w:space="0" w:color="000000"/>
              <w:left w:val="single" w:sz="4" w:space="0" w:color="000000"/>
              <w:bottom w:val="single" w:sz="4" w:space="0" w:color="000000"/>
            </w:tcBorders>
            <w:shd w:val="clear" w:color="auto" w:fill="CCCCCC"/>
          </w:tcPr>
          <w:p w14:paraId="54CF0C73" w14:textId="75C4DEEE" w:rsidR="00036AB2" w:rsidRPr="00E54F52" w:rsidRDefault="00036AB2" w:rsidP="00BA2275">
            <w:pPr>
              <w:pStyle w:val="ad"/>
              <w:spacing w:line="312" w:lineRule="auto"/>
              <w:jc w:val="both"/>
              <w:rPr>
                <w:rFonts w:ascii="Times New Roman" w:hAnsi="Times New Roman" w:cs="Times New Roman"/>
                <w:sz w:val="22"/>
                <w:szCs w:val="22"/>
                <w:lang w:val="en-US"/>
              </w:rPr>
            </w:pPr>
            <w:proofErr w:type="spellStart"/>
            <w:r w:rsidRPr="0051573A">
              <w:rPr>
                <w:rFonts w:ascii="Times New Roman" w:hAnsi="Times New Roman" w:cs="Times New Roman"/>
                <w:sz w:val="22"/>
                <w:szCs w:val="22"/>
              </w:rPr>
              <w:t>Menstrual</w:t>
            </w:r>
            <w:proofErr w:type="spellEnd"/>
            <w:r w:rsidRPr="0051573A">
              <w:rPr>
                <w:rFonts w:ascii="Times New Roman" w:hAnsi="Times New Roman" w:cs="Times New Roman"/>
                <w:sz w:val="22"/>
                <w:szCs w:val="22"/>
              </w:rPr>
              <w:t xml:space="preserve"> </w:t>
            </w:r>
            <w:proofErr w:type="spellStart"/>
            <w:r w:rsidRPr="0051573A">
              <w:rPr>
                <w:rFonts w:ascii="Times New Roman" w:hAnsi="Times New Roman" w:cs="Times New Roman"/>
                <w:sz w:val="22"/>
                <w:szCs w:val="22"/>
              </w:rPr>
              <w:t>cycle</w:t>
            </w:r>
            <w:proofErr w:type="spellEnd"/>
            <w:r w:rsidR="00E54F52">
              <w:rPr>
                <w:rFonts w:ascii="Times New Roman" w:hAnsi="Times New Roman" w:cs="Times New Roman"/>
                <w:sz w:val="22"/>
                <w:szCs w:val="22"/>
                <w:lang w:val="en-US"/>
              </w:rPr>
              <w:t xml:space="preserve"> regime</w:t>
            </w:r>
          </w:p>
        </w:tc>
        <w:tc>
          <w:tcPr>
            <w:tcW w:w="1134" w:type="dxa"/>
            <w:tcBorders>
              <w:top w:val="single" w:sz="4" w:space="0" w:color="000000"/>
              <w:left w:val="single" w:sz="4" w:space="0" w:color="000000"/>
              <w:bottom w:val="single" w:sz="4" w:space="0" w:color="000000"/>
            </w:tcBorders>
            <w:shd w:val="clear" w:color="auto" w:fill="CCCCCC"/>
          </w:tcPr>
          <w:p w14:paraId="261D7225" w14:textId="77777777" w:rsidR="00036AB2" w:rsidRPr="0051573A" w:rsidRDefault="00036AB2" w:rsidP="00BA2275">
            <w:pPr>
              <w:pStyle w:val="ad"/>
              <w:spacing w:line="312" w:lineRule="auto"/>
              <w:jc w:val="both"/>
              <w:rPr>
                <w:rFonts w:ascii="Times New Roman" w:hAnsi="Times New Roman" w:cs="Times New Roman"/>
                <w:sz w:val="22"/>
                <w:szCs w:val="22"/>
              </w:rPr>
            </w:pPr>
            <w:proofErr w:type="spellStart"/>
            <w:r w:rsidRPr="0051573A">
              <w:rPr>
                <w:rFonts w:ascii="Times New Roman" w:hAnsi="Times New Roman" w:cs="Times New Roman"/>
                <w:sz w:val="22"/>
                <w:szCs w:val="22"/>
              </w:rPr>
              <w:t>Menstrual</w:t>
            </w:r>
            <w:proofErr w:type="spellEnd"/>
            <w:r w:rsidRPr="0051573A">
              <w:rPr>
                <w:rFonts w:ascii="Times New Roman" w:hAnsi="Times New Roman" w:cs="Times New Roman"/>
                <w:sz w:val="22"/>
                <w:szCs w:val="22"/>
              </w:rPr>
              <w:t xml:space="preserve"> </w:t>
            </w:r>
            <w:proofErr w:type="spellStart"/>
            <w:r w:rsidRPr="0051573A">
              <w:rPr>
                <w:rFonts w:ascii="Times New Roman" w:hAnsi="Times New Roman" w:cs="Times New Roman"/>
                <w:sz w:val="22"/>
                <w:szCs w:val="22"/>
              </w:rPr>
              <w:t>cycle</w:t>
            </w:r>
            <w:proofErr w:type="spellEnd"/>
            <w:r w:rsidRPr="0051573A">
              <w:rPr>
                <w:rFonts w:ascii="Times New Roman" w:hAnsi="Times New Roman" w:cs="Times New Roman"/>
                <w:sz w:val="22"/>
                <w:szCs w:val="22"/>
              </w:rPr>
              <w:t xml:space="preserve"> </w:t>
            </w:r>
            <w:proofErr w:type="spellStart"/>
            <w:r w:rsidRPr="0051573A">
              <w:rPr>
                <w:rFonts w:ascii="Times New Roman" w:hAnsi="Times New Roman" w:cs="Times New Roman"/>
                <w:sz w:val="22"/>
                <w:szCs w:val="22"/>
              </w:rPr>
              <w:t>point</w:t>
            </w:r>
            <w:proofErr w:type="spellEnd"/>
          </w:p>
        </w:tc>
        <w:tc>
          <w:tcPr>
            <w:tcW w:w="992" w:type="dxa"/>
            <w:tcBorders>
              <w:top w:val="single" w:sz="4" w:space="0" w:color="000000"/>
              <w:left w:val="single" w:sz="4" w:space="0" w:color="000000"/>
              <w:bottom w:val="single" w:sz="4" w:space="0" w:color="000000"/>
            </w:tcBorders>
            <w:shd w:val="clear" w:color="auto" w:fill="CCCCCC"/>
          </w:tcPr>
          <w:p w14:paraId="52B0AB2A" w14:textId="77777777" w:rsidR="00036AB2" w:rsidRPr="0051573A" w:rsidRDefault="00036AB2" w:rsidP="00BA2275">
            <w:pPr>
              <w:pStyle w:val="ad"/>
              <w:spacing w:line="312" w:lineRule="auto"/>
              <w:jc w:val="both"/>
              <w:rPr>
                <w:rFonts w:ascii="Times New Roman" w:hAnsi="Times New Roman" w:cs="Times New Roman"/>
                <w:sz w:val="22"/>
                <w:szCs w:val="22"/>
              </w:rPr>
            </w:pPr>
            <w:proofErr w:type="spellStart"/>
            <w:r w:rsidRPr="0051573A">
              <w:rPr>
                <w:rFonts w:ascii="Times New Roman" w:hAnsi="Times New Roman" w:cs="Times New Roman"/>
                <w:sz w:val="22"/>
                <w:szCs w:val="22"/>
              </w:rPr>
              <w:t>Sampling</w:t>
            </w:r>
            <w:proofErr w:type="spellEnd"/>
            <w:r w:rsidRPr="0051573A">
              <w:rPr>
                <w:rFonts w:ascii="Times New Roman" w:hAnsi="Times New Roman" w:cs="Times New Roman"/>
                <w:sz w:val="22"/>
                <w:szCs w:val="22"/>
              </w:rPr>
              <w:t xml:space="preserve"> </w:t>
            </w:r>
            <w:proofErr w:type="spellStart"/>
            <w:r w:rsidRPr="0051573A">
              <w:rPr>
                <w:rFonts w:ascii="Times New Roman" w:hAnsi="Times New Roman" w:cs="Times New Roman"/>
                <w:sz w:val="22"/>
                <w:szCs w:val="22"/>
              </w:rPr>
              <w:t>technique</w:t>
            </w:r>
            <w:proofErr w:type="spellEnd"/>
          </w:p>
        </w:tc>
        <w:tc>
          <w:tcPr>
            <w:tcW w:w="1134" w:type="dxa"/>
            <w:tcBorders>
              <w:top w:val="single" w:sz="4" w:space="0" w:color="000000"/>
              <w:left w:val="single" w:sz="4" w:space="0" w:color="000000"/>
              <w:bottom w:val="single" w:sz="4" w:space="0" w:color="000000"/>
            </w:tcBorders>
            <w:shd w:val="clear" w:color="auto" w:fill="CCCCCC"/>
          </w:tcPr>
          <w:p w14:paraId="5EA34D29" w14:textId="5831092E" w:rsidR="00036AB2" w:rsidRPr="00053100" w:rsidRDefault="00036AB2" w:rsidP="00BA2275">
            <w:pPr>
              <w:pStyle w:val="ad"/>
              <w:spacing w:line="312" w:lineRule="auto"/>
              <w:jc w:val="both"/>
              <w:rPr>
                <w:rFonts w:ascii="Times New Roman" w:hAnsi="Times New Roman" w:cs="Times New Roman"/>
                <w:sz w:val="22"/>
                <w:szCs w:val="22"/>
                <w:lang w:val="en-US"/>
              </w:rPr>
            </w:pPr>
            <w:proofErr w:type="spellStart"/>
            <w:r w:rsidRPr="0051573A">
              <w:rPr>
                <w:rFonts w:ascii="Times New Roman" w:hAnsi="Times New Roman" w:cs="Times New Roman"/>
                <w:sz w:val="22"/>
                <w:szCs w:val="22"/>
              </w:rPr>
              <w:t>Embryos</w:t>
            </w:r>
            <w:proofErr w:type="spellEnd"/>
            <w:r w:rsidRPr="0051573A">
              <w:rPr>
                <w:rFonts w:ascii="Times New Roman" w:hAnsi="Times New Roman" w:cs="Times New Roman"/>
                <w:sz w:val="22"/>
                <w:szCs w:val="22"/>
              </w:rPr>
              <w:t xml:space="preserve"> </w:t>
            </w:r>
            <w:proofErr w:type="spellStart"/>
            <w:r w:rsidRPr="0051573A">
              <w:rPr>
                <w:rFonts w:ascii="Times New Roman" w:hAnsi="Times New Roman" w:cs="Times New Roman"/>
                <w:sz w:val="22"/>
                <w:szCs w:val="22"/>
              </w:rPr>
              <w:t>quality</w:t>
            </w:r>
            <w:proofErr w:type="spellEnd"/>
            <w:r w:rsidR="00053100">
              <w:rPr>
                <w:rFonts w:ascii="Times New Roman" w:hAnsi="Times New Roman" w:cs="Times New Roman"/>
                <w:sz w:val="22"/>
                <w:szCs w:val="22"/>
                <w:lang w:val="en-US"/>
              </w:rPr>
              <w:t xml:space="preserve"> control</w:t>
            </w:r>
          </w:p>
        </w:tc>
        <w:tc>
          <w:tcPr>
            <w:tcW w:w="993" w:type="dxa"/>
            <w:tcBorders>
              <w:top w:val="single" w:sz="4" w:space="0" w:color="000000"/>
              <w:left w:val="single" w:sz="4" w:space="0" w:color="000000"/>
              <w:bottom w:val="single" w:sz="4" w:space="0" w:color="000000"/>
            </w:tcBorders>
            <w:shd w:val="clear" w:color="auto" w:fill="CCCCCC"/>
          </w:tcPr>
          <w:p w14:paraId="39D4151B" w14:textId="25AE216D" w:rsidR="00036AB2" w:rsidRPr="0051573A" w:rsidRDefault="00053100" w:rsidP="00BA2275">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F</w:t>
            </w:r>
            <w:r w:rsidR="00036AB2" w:rsidRPr="0051573A">
              <w:rPr>
                <w:rFonts w:ascii="Times New Roman" w:hAnsi="Times New Roman" w:cs="Times New Roman"/>
                <w:sz w:val="22"/>
                <w:szCs w:val="22"/>
                <w:lang w:val="en-US"/>
              </w:rPr>
              <w:t>ertility of normal group</w:t>
            </w:r>
          </w:p>
        </w:tc>
        <w:tc>
          <w:tcPr>
            <w:tcW w:w="850" w:type="dxa"/>
            <w:tcBorders>
              <w:top w:val="single" w:sz="4" w:space="0" w:color="000000"/>
              <w:left w:val="single" w:sz="4" w:space="0" w:color="000000"/>
              <w:bottom w:val="single" w:sz="4" w:space="0" w:color="000000"/>
            </w:tcBorders>
            <w:shd w:val="clear" w:color="auto" w:fill="CCCCCC"/>
          </w:tcPr>
          <w:p w14:paraId="183E00A0" w14:textId="77777777" w:rsidR="00036AB2" w:rsidRPr="0051573A" w:rsidRDefault="00036AB2" w:rsidP="00BA2275">
            <w:pPr>
              <w:pStyle w:val="ad"/>
              <w:spacing w:line="312" w:lineRule="auto"/>
              <w:jc w:val="both"/>
              <w:rPr>
                <w:rFonts w:ascii="Times New Roman" w:hAnsi="Times New Roman" w:cs="Times New Roman"/>
                <w:sz w:val="22"/>
                <w:szCs w:val="22"/>
              </w:rPr>
            </w:pPr>
            <w:r w:rsidRPr="0051573A">
              <w:rPr>
                <w:rFonts w:ascii="Times New Roman" w:hAnsi="Times New Roman" w:cs="Times New Roman"/>
                <w:sz w:val="22"/>
                <w:szCs w:val="22"/>
              </w:rPr>
              <w:t>Country</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1DAAC1C2" w14:textId="77777777" w:rsidR="00036AB2" w:rsidRPr="0051573A" w:rsidRDefault="00036AB2" w:rsidP="00BA2275">
            <w:pPr>
              <w:pStyle w:val="ad"/>
              <w:spacing w:line="312" w:lineRule="auto"/>
              <w:jc w:val="both"/>
              <w:rPr>
                <w:rFonts w:ascii="Times New Roman" w:hAnsi="Times New Roman" w:cs="Times New Roman"/>
                <w:sz w:val="22"/>
                <w:szCs w:val="22"/>
              </w:rPr>
            </w:pPr>
            <w:proofErr w:type="spellStart"/>
            <w:r w:rsidRPr="0051573A">
              <w:rPr>
                <w:rFonts w:ascii="Times New Roman" w:hAnsi="Times New Roman" w:cs="Times New Roman"/>
                <w:sz w:val="22"/>
                <w:szCs w:val="22"/>
              </w:rPr>
              <w:t>Ref</w:t>
            </w:r>
            <w:proofErr w:type="spellEnd"/>
          </w:p>
        </w:tc>
      </w:tr>
      <w:tr w:rsidR="00036AB2" w:rsidRPr="00053100" w14:paraId="00D3A094" w14:textId="77777777" w:rsidTr="00B7109B">
        <w:trPr>
          <w:trHeight w:val="250"/>
        </w:trPr>
        <w:tc>
          <w:tcPr>
            <w:tcW w:w="1598" w:type="dxa"/>
            <w:tcBorders>
              <w:left w:val="single" w:sz="4" w:space="0" w:color="000000"/>
              <w:bottom w:val="single" w:sz="4" w:space="0" w:color="000000"/>
            </w:tcBorders>
          </w:tcPr>
          <w:p w14:paraId="0AE4D161" w14:textId="77777777" w:rsidR="00036AB2" w:rsidRPr="0051573A" w:rsidRDefault="00036AB2" w:rsidP="00BA2275">
            <w:pPr>
              <w:spacing w:line="312" w:lineRule="auto"/>
              <w:jc w:val="both"/>
              <w:rPr>
                <w:rFonts w:ascii="Times New Roman" w:hAnsi="Times New Roman" w:cs="Times New Roman"/>
                <w:sz w:val="22"/>
                <w:szCs w:val="22"/>
              </w:rPr>
            </w:pPr>
            <w:r w:rsidRPr="0051573A">
              <w:rPr>
                <w:rFonts w:ascii="Times New Roman" w:hAnsi="Times New Roman" w:cs="Times New Roman"/>
                <w:sz w:val="22"/>
                <w:szCs w:val="22"/>
              </w:rPr>
              <w:t>GSE103465</w:t>
            </w:r>
          </w:p>
        </w:tc>
        <w:tc>
          <w:tcPr>
            <w:tcW w:w="812" w:type="dxa"/>
            <w:tcBorders>
              <w:left w:val="single" w:sz="4" w:space="0" w:color="000000"/>
              <w:bottom w:val="single" w:sz="4" w:space="0" w:color="000000"/>
            </w:tcBorders>
          </w:tcPr>
          <w:p w14:paraId="07413628" w14:textId="77777777" w:rsidR="00036AB2" w:rsidRPr="0051573A" w:rsidRDefault="00036AB2" w:rsidP="00BA2275">
            <w:pPr>
              <w:pStyle w:val="ad"/>
              <w:spacing w:line="312" w:lineRule="auto"/>
              <w:jc w:val="both"/>
              <w:rPr>
                <w:rFonts w:ascii="Times New Roman" w:hAnsi="Times New Roman" w:cs="Times New Roman"/>
                <w:sz w:val="22"/>
                <w:szCs w:val="22"/>
              </w:rPr>
            </w:pPr>
            <w:proofErr w:type="spellStart"/>
            <w:r w:rsidRPr="0051573A">
              <w:rPr>
                <w:rFonts w:ascii="Times New Roman" w:hAnsi="Times New Roman" w:cs="Times New Roman"/>
                <w:sz w:val="22"/>
                <w:szCs w:val="22"/>
              </w:rPr>
              <w:t>Bulk</w:t>
            </w:r>
            <w:proofErr w:type="spellEnd"/>
          </w:p>
        </w:tc>
        <w:tc>
          <w:tcPr>
            <w:tcW w:w="992" w:type="dxa"/>
            <w:tcBorders>
              <w:left w:val="single" w:sz="4" w:space="0" w:color="000000"/>
              <w:bottom w:val="single" w:sz="4" w:space="0" w:color="000000"/>
            </w:tcBorders>
          </w:tcPr>
          <w:p w14:paraId="6BC74DAF" w14:textId="77777777" w:rsidR="00036AB2" w:rsidRPr="0051573A" w:rsidRDefault="00036AB2" w:rsidP="00BA2275">
            <w:pPr>
              <w:pStyle w:val="ad"/>
              <w:spacing w:line="312" w:lineRule="auto"/>
              <w:jc w:val="both"/>
              <w:rPr>
                <w:rFonts w:ascii="Times New Roman" w:hAnsi="Times New Roman" w:cs="Times New Roman"/>
                <w:sz w:val="22"/>
                <w:szCs w:val="22"/>
              </w:rPr>
            </w:pPr>
            <w:proofErr w:type="spellStart"/>
            <w:r w:rsidRPr="0051573A">
              <w:rPr>
                <w:rFonts w:ascii="Times New Roman" w:hAnsi="Times New Roman" w:cs="Times New Roman"/>
                <w:sz w:val="22"/>
                <w:szCs w:val="22"/>
              </w:rPr>
              <w:t>Array</w:t>
            </w:r>
            <w:proofErr w:type="spellEnd"/>
          </w:p>
        </w:tc>
        <w:tc>
          <w:tcPr>
            <w:tcW w:w="1276" w:type="dxa"/>
            <w:tcBorders>
              <w:left w:val="single" w:sz="4" w:space="0" w:color="000000"/>
              <w:bottom w:val="single" w:sz="4" w:space="0" w:color="000000"/>
            </w:tcBorders>
          </w:tcPr>
          <w:p w14:paraId="57FC1268" w14:textId="3AD59D56" w:rsidR="00036AB2" w:rsidRPr="0051573A" w:rsidRDefault="00875C2D" w:rsidP="00BA2275">
            <w:pPr>
              <w:pStyle w:val="ad"/>
              <w:spacing w:line="312" w:lineRule="auto"/>
              <w:jc w:val="both"/>
              <w:rPr>
                <w:rFonts w:ascii="Times New Roman" w:hAnsi="Times New Roman" w:cs="Times New Roman"/>
                <w:sz w:val="22"/>
                <w:szCs w:val="22"/>
              </w:rPr>
            </w:pPr>
            <w:r>
              <w:rPr>
                <w:rFonts w:ascii="Times New Roman" w:hAnsi="Times New Roman" w:cs="Times New Roman"/>
                <w:sz w:val="22"/>
                <w:szCs w:val="22"/>
                <w:lang w:val="en-US"/>
              </w:rPr>
              <w:t>Control</w:t>
            </w:r>
            <w:r w:rsidR="00036AB2" w:rsidRPr="0051573A">
              <w:rPr>
                <w:rFonts w:ascii="Times New Roman" w:hAnsi="Times New Roman" w:cs="Times New Roman"/>
                <w:sz w:val="22"/>
                <w:szCs w:val="22"/>
              </w:rPr>
              <w:t xml:space="preserve"> (3), RIF (3)</w:t>
            </w:r>
          </w:p>
        </w:tc>
        <w:tc>
          <w:tcPr>
            <w:tcW w:w="1134" w:type="dxa"/>
            <w:tcBorders>
              <w:left w:val="single" w:sz="4" w:space="0" w:color="000000"/>
              <w:bottom w:val="single" w:sz="4" w:space="0" w:color="000000"/>
              <w:right w:val="single" w:sz="4" w:space="0" w:color="000000"/>
            </w:tcBorders>
          </w:tcPr>
          <w:p w14:paraId="069E5491" w14:textId="528F16C4" w:rsidR="00036AB2" w:rsidRPr="0051573A" w:rsidRDefault="00B7109B" w:rsidP="00BA2275">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(Coughlan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2014)</w:t>
            </w:r>
            <w:r>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7C5B05E8" w14:textId="6BCBDB06" w:rsidR="00036AB2" w:rsidRPr="0051573A" w:rsidRDefault="00036AB2" w:rsidP="00BA2275">
            <w:pPr>
              <w:pStyle w:val="ad"/>
              <w:spacing w:line="312" w:lineRule="auto"/>
              <w:jc w:val="both"/>
              <w:rPr>
                <w:rFonts w:ascii="Times New Roman" w:hAnsi="Times New Roman" w:cs="Times New Roman"/>
                <w:sz w:val="22"/>
                <w:szCs w:val="22"/>
              </w:rPr>
            </w:pPr>
            <w:r w:rsidRPr="0051573A">
              <w:rPr>
                <w:rFonts w:ascii="Times New Roman" w:hAnsi="Times New Roman" w:cs="Times New Roman"/>
                <w:sz w:val="22"/>
                <w:szCs w:val="22"/>
              </w:rPr>
              <w:t>Natural</w:t>
            </w:r>
          </w:p>
        </w:tc>
        <w:tc>
          <w:tcPr>
            <w:tcW w:w="1134" w:type="dxa"/>
            <w:tcBorders>
              <w:left w:val="single" w:sz="4" w:space="0" w:color="000000"/>
              <w:bottom w:val="single" w:sz="4" w:space="0" w:color="000000"/>
            </w:tcBorders>
          </w:tcPr>
          <w:p w14:paraId="4AFE8539" w14:textId="77777777" w:rsidR="00036AB2" w:rsidRPr="0051573A" w:rsidRDefault="00036AB2" w:rsidP="00BA2275">
            <w:pPr>
              <w:pStyle w:val="ad"/>
              <w:spacing w:line="312" w:lineRule="auto"/>
              <w:jc w:val="both"/>
              <w:rPr>
                <w:rFonts w:ascii="Times New Roman" w:hAnsi="Times New Roman" w:cs="Times New Roman"/>
                <w:sz w:val="22"/>
                <w:szCs w:val="22"/>
              </w:rPr>
            </w:pPr>
            <w:r w:rsidRPr="0051573A">
              <w:rPr>
                <w:rFonts w:ascii="Times New Roman" w:hAnsi="Times New Roman" w:cs="Times New Roman"/>
                <w:sz w:val="22"/>
                <w:szCs w:val="22"/>
              </w:rPr>
              <w:t>LH + 7</w:t>
            </w:r>
          </w:p>
        </w:tc>
        <w:tc>
          <w:tcPr>
            <w:tcW w:w="992" w:type="dxa"/>
            <w:tcBorders>
              <w:left w:val="single" w:sz="4" w:space="0" w:color="000000"/>
              <w:bottom w:val="single" w:sz="4" w:space="0" w:color="000000"/>
            </w:tcBorders>
          </w:tcPr>
          <w:p w14:paraId="2149C3EF" w14:textId="77777777" w:rsidR="00036AB2" w:rsidRPr="0051573A" w:rsidRDefault="00036AB2" w:rsidP="00BA2275">
            <w:pPr>
              <w:pStyle w:val="ad"/>
              <w:spacing w:line="312" w:lineRule="auto"/>
              <w:jc w:val="both"/>
              <w:rPr>
                <w:rFonts w:ascii="Times New Roman" w:hAnsi="Times New Roman" w:cs="Times New Roman"/>
                <w:sz w:val="22"/>
                <w:szCs w:val="22"/>
              </w:rPr>
            </w:pPr>
            <w:proofErr w:type="spellStart"/>
            <w:r w:rsidRPr="0051573A">
              <w:rPr>
                <w:rFonts w:ascii="Times New Roman" w:hAnsi="Times New Roman" w:cs="Times New Roman"/>
                <w:sz w:val="22"/>
                <w:szCs w:val="22"/>
              </w:rPr>
              <w:t>Biopsy</w:t>
            </w:r>
            <w:proofErr w:type="spellEnd"/>
          </w:p>
        </w:tc>
        <w:tc>
          <w:tcPr>
            <w:tcW w:w="1134" w:type="dxa"/>
            <w:tcBorders>
              <w:left w:val="single" w:sz="4" w:space="0" w:color="000000"/>
              <w:bottom w:val="single" w:sz="4" w:space="0" w:color="000000"/>
            </w:tcBorders>
          </w:tcPr>
          <w:p w14:paraId="25EE74B4" w14:textId="77777777" w:rsidR="00036AB2" w:rsidRPr="0051573A" w:rsidRDefault="00036AB2" w:rsidP="00BA2275">
            <w:pPr>
              <w:pStyle w:val="ad"/>
              <w:spacing w:line="312" w:lineRule="auto"/>
              <w:jc w:val="both"/>
              <w:rPr>
                <w:rFonts w:ascii="Times New Roman" w:hAnsi="Times New Roman" w:cs="Times New Roman"/>
                <w:sz w:val="22"/>
                <w:szCs w:val="22"/>
              </w:rPr>
            </w:pPr>
            <w:proofErr w:type="spellStart"/>
            <w:r w:rsidRPr="0051573A">
              <w:rPr>
                <w:rFonts w:ascii="Times New Roman" w:hAnsi="Times New Roman" w:cs="Times New Roman"/>
                <w:sz w:val="22"/>
                <w:szCs w:val="22"/>
              </w:rPr>
              <w:t>Controlled</w:t>
            </w:r>
            <w:proofErr w:type="spellEnd"/>
          </w:p>
        </w:tc>
        <w:tc>
          <w:tcPr>
            <w:tcW w:w="993" w:type="dxa"/>
            <w:tcBorders>
              <w:left w:val="single" w:sz="4" w:space="0" w:color="000000"/>
              <w:bottom w:val="single" w:sz="4" w:space="0" w:color="000000"/>
            </w:tcBorders>
          </w:tcPr>
          <w:p w14:paraId="47FFDECE" w14:textId="1418CADA" w:rsidR="00036AB2" w:rsidRPr="00053100" w:rsidRDefault="00053100" w:rsidP="00BA2275">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05AE60D9" w14:textId="77777777" w:rsidR="00036AB2" w:rsidRPr="0051573A" w:rsidRDefault="00036AB2" w:rsidP="00BA2275">
            <w:pPr>
              <w:pStyle w:val="ad"/>
              <w:spacing w:line="312" w:lineRule="auto"/>
              <w:jc w:val="both"/>
              <w:rPr>
                <w:rFonts w:ascii="Times New Roman" w:hAnsi="Times New Roman" w:cs="Times New Roman"/>
                <w:sz w:val="22"/>
                <w:szCs w:val="22"/>
              </w:rPr>
            </w:pPr>
            <w:r w:rsidRPr="0051573A">
              <w:rPr>
                <w:rFonts w:ascii="Times New Roman" w:hAnsi="Times New Roman" w:cs="Times New Roman"/>
                <w:sz w:val="22"/>
                <w:szCs w:val="22"/>
              </w:rPr>
              <w:t>China</w:t>
            </w:r>
          </w:p>
        </w:tc>
        <w:tc>
          <w:tcPr>
            <w:tcW w:w="2469" w:type="dxa"/>
            <w:tcBorders>
              <w:left w:val="single" w:sz="4" w:space="0" w:color="000000"/>
              <w:bottom w:val="single" w:sz="4" w:space="0" w:color="000000"/>
              <w:right w:val="single" w:sz="4" w:space="0" w:color="000000"/>
            </w:tcBorders>
          </w:tcPr>
          <w:p w14:paraId="0DC605A7" w14:textId="15975C96" w:rsidR="00036AB2" w:rsidRPr="00053100" w:rsidRDefault="00053100" w:rsidP="00BA2275">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rPr>
              <w:fldChar w:fldCharType="begin" w:fldLock="1"/>
            </w:r>
            <w:r>
              <w:rPr>
                <w:rFonts w:ascii="Times New Roman" w:hAnsi="Times New Roman" w:cs="Times New Roman"/>
                <w:sz w:val="22"/>
                <w:szCs w:val="22"/>
              </w:rPr>
              <w:instrText>ADDIN CSL_CITATION {"citationItems":[{"id":"ITEM-1","itemData":{"DOI":"10.1093/HUMREP/DEY022","ISSN":"1460-2350","PMID":"29617817","abstract":"Study Question: Is recurrent implantation failure (RIF) associated with decreased expression of platelet and endothelial cell adhesion molecule 1 (PECAM1) and transforming growth factor β1 (TGF-β1) in the endometrium during the implantation window? Summary Answer: The present study demonstrates that the expression of PECAM1 and TGF-β1 is significantly decreased in the mid-secretory endometrium in women with RIF, which may account for embryo implantation failure. What is Known Already: RIF has become a bottleneck issue that hampers the improvement of pregnancy rates in IVF-embryo transfer (IVF-ET). The causes of RIF are complex and may involve the dysregulation of various growth factors, metabolites, and inflammatory cytokines. At present, the precise pathogenesis of RIF has not been elucidated. Study Design, Size, Duration: This was a prospective case-control study. Endometrial tissue samples were obtained from January 2014 to December 2016 from two groups of women who had undergone IVF (RIF group, 22 women who underwent ≥3 ETs including a total of ≥4 good-quality embryos without pregnancy, control group, 18 women who conceived in their first treatment cycle). At the same time, samples were obtained from 18 women with infertility secondary to tubal factor in the early proliferative, late proliferative and mid-secretory phases of the menstrual cycle (n = 6 per group). Samples used for isolation of primary human endometrial epithelial cells and stromal cells (HEECs and HESCs) were collected in December 2017 from six women with infertility secondary to tubal factor. Participants/Materials, Setting, Methods: We investigated gene expression using integrative whole genome expression microarray analysis, including differentially expressed gene screening, principal component analysis, and functional enrichment analysis. RT-qPCR, western blotting, immunohistochemistry, immunofluorescence co-localization analysis and short hairpin RNA (shRNA) plasmid transfection in Ishikawa cell line, HEECs and HESCs were used to investigate the expression of PECAM1 and TGF-β1. Main Results and The Role of Chance: Integrative data mining of whole-genome expression profiles identified cell adhesion as a key regulator in RIF. Database retrieval and literature review screened several novel cell adhesion-related genes that might participate in embryo implantation, which include PECAM1, intercellular adhesion molecule 2 (ICAM2), integrin subunit β2 (ITGB2), selectin P (SELP) and TEK …","author":[{"dropping-particle":"","family":"Guo","given":"Feng","non-dropping-particle":"","parse-names":false,"suffix":""},{"dropping-particle":"","family":"Si","given":"Chenchen","non-dropping-particle":"","parse-names":false,"suffix":""},{"dropping-particle":"","family":"Zhou","given":"Mingjuan","non-dropping-particle":"","parse-names":false,"suffix":""},{"dropping-particle":"","family":"Wang","given":"Jingwen","non-dropping-particle":"","parse-names":false,"suffix":""},{"dropping-particle":"","family":"Zhang","given":"Dan","non-dropping-particle":"","parse-names":false,"suffix":""},{"dropping-particle":"","family":"Leung","given":"Peter C.K.","non-dropping-particle":"","parse-names":false,"suffix":""},{"dropping-particle":"","family":"Xu","given":"Bufang","non-dropping-particle":"","parse-names":false,"suffix":""},{"dropping-particle":"","family":"Zhang","given":"Aijun","non-dropping-particle":"","parse-names":false,"suffix":""}],"container-title":"Human reproduction (Oxford, England)","id":"ITEM-1","issue":"5","issued":{"date-parts":[["2018","5","1"]]},"page":"832-843","publisher":"Hum Reprod","title":"Decreased PECAM1-mediated TGF-β1 expression in the mid-secretory endometrium in women with recurrent implantation failure","type":"article-journal","volume":"33"},"uris":["http://www.mendeley.com/documents/?uuid=372b0f5b-43d4-32f7-bfb4-8ece0b9c6a9b"]}],"mendeley":{"formattedCitation":"(Guo &lt;i&gt;et al.&lt;/i&gt;, 2018)","plainTextFormattedCitation":"(Guo et al., 2018)","previouslyFormattedCitation":"(Guo &lt;i&gt;et al.&lt;/i&gt;, 2018)"},"properties":{"noteIndex":0},"schema":"https://github.com/citation-style-language/schema/raw/master/csl-citation.json"}</w:instrText>
            </w:r>
            <w:r>
              <w:rPr>
                <w:rFonts w:ascii="Times New Roman" w:hAnsi="Times New Roman" w:cs="Times New Roman"/>
                <w:sz w:val="22"/>
                <w:szCs w:val="22"/>
              </w:rPr>
              <w:fldChar w:fldCharType="separate"/>
            </w:r>
            <w:r w:rsidRPr="00053100">
              <w:rPr>
                <w:rFonts w:ascii="Times New Roman" w:hAnsi="Times New Roman" w:cs="Times New Roman"/>
                <w:noProof/>
                <w:sz w:val="22"/>
                <w:szCs w:val="22"/>
                <w:lang w:val="en-US"/>
              </w:rPr>
              <w:t xml:space="preserve">(Guo </w:t>
            </w:r>
            <w:r w:rsidRPr="00053100">
              <w:rPr>
                <w:rFonts w:ascii="Times New Roman" w:hAnsi="Times New Roman" w:cs="Times New Roman"/>
                <w:i/>
                <w:noProof/>
                <w:sz w:val="22"/>
                <w:szCs w:val="22"/>
                <w:lang w:val="en-US"/>
              </w:rPr>
              <w:t>et al.</w:t>
            </w:r>
            <w:r w:rsidRPr="00053100">
              <w:rPr>
                <w:rFonts w:ascii="Times New Roman" w:hAnsi="Times New Roman" w:cs="Times New Roman"/>
                <w:noProof/>
                <w:sz w:val="22"/>
                <w:szCs w:val="22"/>
                <w:lang w:val="en-US"/>
              </w:rPr>
              <w:t>, 2018)</w:t>
            </w:r>
            <w:r>
              <w:rPr>
                <w:rFonts w:ascii="Times New Roman" w:hAnsi="Times New Roman" w:cs="Times New Roman"/>
                <w:sz w:val="22"/>
                <w:szCs w:val="22"/>
              </w:rPr>
              <w:fldChar w:fldCharType="end"/>
            </w:r>
          </w:p>
        </w:tc>
      </w:tr>
      <w:tr w:rsidR="00036AB2" w:rsidRPr="00053100" w14:paraId="3FE98EA3" w14:textId="77777777" w:rsidTr="00B7109B">
        <w:trPr>
          <w:trHeight w:val="238"/>
        </w:trPr>
        <w:tc>
          <w:tcPr>
            <w:tcW w:w="1598" w:type="dxa"/>
            <w:tcBorders>
              <w:left w:val="single" w:sz="4" w:space="0" w:color="000000"/>
              <w:bottom w:val="single" w:sz="4" w:space="0" w:color="000000"/>
            </w:tcBorders>
          </w:tcPr>
          <w:p w14:paraId="51C3F720" w14:textId="77777777" w:rsidR="00036AB2" w:rsidRPr="00053100" w:rsidRDefault="00036AB2" w:rsidP="00BA2275">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GSE106602</w:t>
            </w:r>
          </w:p>
        </w:tc>
        <w:tc>
          <w:tcPr>
            <w:tcW w:w="812" w:type="dxa"/>
            <w:tcBorders>
              <w:left w:val="single" w:sz="4" w:space="0" w:color="000000"/>
              <w:bottom w:val="single" w:sz="4" w:space="0" w:color="000000"/>
            </w:tcBorders>
          </w:tcPr>
          <w:p w14:paraId="65EC6AA7" w14:textId="77777777" w:rsidR="00036AB2" w:rsidRPr="00053100" w:rsidRDefault="00036AB2" w:rsidP="00BA2275">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Bulk</w:t>
            </w:r>
          </w:p>
        </w:tc>
        <w:tc>
          <w:tcPr>
            <w:tcW w:w="992" w:type="dxa"/>
            <w:tcBorders>
              <w:left w:val="single" w:sz="4" w:space="0" w:color="000000"/>
              <w:bottom w:val="single" w:sz="4" w:space="0" w:color="000000"/>
            </w:tcBorders>
          </w:tcPr>
          <w:p w14:paraId="39C480C7" w14:textId="77777777" w:rsidR="00036AB2" w:rsidRPr="00053100" w:rsidRDefault="00036AB2" w:rsidP="00BA2275">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RNA-seq</w:t>
            </w:r>
          </w:p>
        </w:tc>
        <w:tc>
          <w:tcPr>
            <w:tcW w:w="1276" w:type="dxa"/>
            <w:tcBorders>
              <w:left w:val="single" w:sz="4" w:space="0" w:color="000000"/>
              <w:bottom w:val="single" w:sz="4" w:space="0" w:color="000000"/>
            </w:tcBorders>
          </w:tcPr>
          <w:p w14:paraId="428D32A7" w14:textId="6DC8EB43" w:rsidR="00036AB2" w:rsidRPr="00053100" w:rsidRDefault="00875C2D" w:rsidP="00BA2275">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00036AB2" w:rsidRPr="00053100">
              <w:rPr>
                <w:rFonts w:ascii="Times New Roman" w:hAnsi="Times New Roman" w:cs="Times New Roman"/>
                <w:sz w:val="22"/>
                <w:szCs w:val="22"/>
                <w:lang w:val="en-US"/>
              </w:rPr>
              <w:t>(16), RIF (19)</w:t>
            </w:r>
          </w:p>
        </w:tc>
        <w:tc>
          <w:tcPr>
            <w:tcW w:w="1134" w:type="dxa"/>
            <w:tcBorders>
              <w:left w:val="single" w:sz="4" w:space="0" w:color="000000"/>
              <w:bottom w:val="single" w:sz="4" w:space="0" w:color="000000"/>
              <w:right w:val="single" w:sz="4" w:space="0" w:color="000000"/>
            </w:tcBorders>
          </w:tcPr>
          <w:p w14:paraId="568FC494" w14:textId="451A7D06" w:rsidR="00036AB2" w:rsidRPr="00053100" w:rsidRDefault="00B7109B" w:rsidP="00BA2275">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(Coughlan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2014)</w:t>
            </w:r>
            <w:r>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3DDCFAC6" w14:textId="031EFAFF" w:rsidR="00036AB2" w:rsidRPr="00053100" w:rsidRDefault="00036AB2" w:rsidP="00BA2275">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Natural</w:t>
            </w:r>
          </w:p>
        </w:tc>
        <w:tc>
          <w:tcPr>
            <w:tcW w:w="1134" w:type="dxa"/>
            <w:tcBorders>
              <w:left w:val="single" w:sz="4" w:space="0" w:color="000000"/>
              <w:bottom w:val="single" w:sz="4" w:space="0" w:color="000000"/>
            </w:tcBorders>
          </w:tcPr>
          <w:p w14:paraId="618D4A0E" w14:textId="77777777" w:rsidR="00036AB2" w:rsidRPr="00053100" w:rsidRDefault="00036AB2" w:rsidP="00BA2275">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LH + 7</w:t>
            </w:r>
          </w:p>
        </w:tc>
        <w:tc>
          <w:tcPr>
            <w:tcW w:w="992" w:type="dxa"/>
            <w:tcBorders>
              <w:left w:val="single" w:sz="4" w:space="0" w:color="000000"/>
              <w:bottom w:val="single" w:sz="4" w:space="0" w:color="000000"/>
            </w:tcBorders>
          </w:tcPr>
          <w:p w14:paraId="045EE9E9" w14:textId="77777777" w:rsidR="00036AB2" w:rsidRPr="00053100" w:rsidRDefault="00036AB2" w:rsidP="00BA2275">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4840358F" w14:textId="77777777" w:rsidR="00036AB2" w:rsidRPr="00053100" w:rsidRDefault="00036AB2" w:rsidP="00BA2275">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w:t>
            </w:r>
          </w:p>
        </w:tc>
        <w:tc>
          <w:tcPr>
            <w:tcW w:w="993" w:type="dxa"/>
            <w:tcBorders>
              <w:left w:val="single" w:sz="4" w:space="0" w:color="000000"/>
              <w:bottom w:val="single" w:sz="4" w:space="0" w:color="000000"/>
            </w:tcBorders>
          </w:tcPr>
          <w:p w14:paraId="62538557" w14:textId="7944CD30" w:rsidR="00036AB2" w:rsidRPr="00053100" w:rsidRDefault="00053100" w:rsidP="00BA2275">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65770E81" w14:textId="77777777" w:rsidR="00036AB2" w:rsidRPr="00053100" w:rsidRDefault="00036AB2" w:rsidP="00BA2275">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Spain</w:t>
            </w:r>
          </w:p>
        </w:tc>
        <w:tc>
          <w:tcPr>
            <w:tcW w:w="2469" w:type="dxa"/>
            <w:tcBorders>
              <w:left w:val="single" w:sz="4" w:space="0" w:color="000000"/>
              <w:bottom w:val="single" w:sz="4" w:space="0" w:color="000000"/>
              <w:right w:val="single" w:sz="4" w:space="0" w:color="000000"/>
            </w:tcBorders>
          </w:tcPr>
          <w:p w14:paraId="23744E38" w14:textId="589B5DBC" w:rsidR="00036AB2" w:rsidRPr="00053100" w:rsidRDefault="00053100" w:rsidP="00BA2275">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{"citationItems":[{"id":"ITEM-1","itemData":{"DOI":"10.1093/HUMREP/DEY301","ISSN":"1460-2350","PMID":"30295736","abstract":"STUDY QUESTION: Does cellular composition of the endometrial biopsy affect the gene expression profile of endometrial whole-tissue samples? SUMMARY ANSWER: The differences in epithelial and stromal cell proportions in endometrial biopsies modify the whole-tissue gene expression profiles and affect the results of differential expression analyses. WHAT IS ALREADY KNOWN: Each cell type has its unique gene expression profile. The proportions of epithelial and stromal cells vary in endometrial tissue during the menstrual cycle, along with individual and technical variation due to the method and tools used to obtain the tissue biopsy. STUDY DESIGN, SIZE, DURATION: Using cell-population specific transcriptome data and computational deconvolution approach, we estimated the epithelial and stromal cell proportions in whole-tissue biopsies taken during early secretory and mid-secretory phases. The estimated cellular proportions were used as covariates in whole-tissue differential gene expression analysis. Endometrial transcriptomes before and after deconvolution were compared and analysed in biological context. PARTICIPANTS/MATERIAL, SETTING, METHODS: Paired early- and mid-secretory endometrial biopsies were obtained from 35 healthy, regularly cycling, fertile volunteers, aged 23-36 years, and analysed by RNA sequencing. Differential gene expression analysis was performed using two approaches. In one of them, computational deconvolution was applied as an intermediate step to adjust for the proportions of epithelial and stromal cells in the endometrial biopsy. The results were then compared to conventional differential expression analysis. Ten paired endometrial samples were analysed with qPCR to validate the results. MAIN RESULTS AND THE ROLE OF CHANCE: The estimated average proportions of stromal and epithelial cells in early secretory phase were 65% and 35%, and during mid-secretory phase, 46% and 54%, respectively, correlating well with the results of histological evaluation (r = 0.88, P = 1.1 × 10−6). Endometrial tissue transcriptomic analysis showed that approximately 26% of transcripts (n = 946) differentially expressed in receptive endometrium in cell-type unadjusted analysis also remain differentially expressed after adjustment for biopsy cellular composition. However, the other 74% (n = 2645) become statistically non-significant after adjustment for biopsy cellular composition underlining the impact of tissue heterogeneity on differential expression analy…","author":[{"dropping-particle":"","family":"Suhorutshenko","given":"Marina","non-dropping-particle":"","parse-names":false,"suffix":""},{"dropping-particle":"","family":"Kukushkina","given":"Viktorija","non-dropping-particle":"","parse-names":false,"suffix":""},{"dropping-particle":"","family":"Velthut-Meikas","given":"Agne","non-dropping-particle":"","parse-names":false,"suffix":""},{"dropping-particle":"","family":"Altmäe","given":"Signe","non-dropping-particle":"","parse-names":false,"suffix":""},{"dropping-particle":"","family":"Peters","given":"Maire","non-dropping-particle":"","parse-names":false,"suffix":""},{"dropping-particle":"","family":"Mägi","given":"Reedik","non-dropping-particle":"","parse-names":false,"suffix":""},{"dropping-particle":"","family":"Krjutškov","given":"Kaarel","non-dropping-particle":"","parse-names":false,"suffix":""},{"dropping-particle":"","family":"Koel","given":"Mariann","non-dropping-particle":"","parse-names":false,"suffix":""},{"dropping-particle":"","family":"Codoñer","given":"Francisco M.","non-dropping-particle":"","parse-names":false,"suffix":""},{"dropping-particle":"","family":"Martinez-Blanch","given":"Juan Fco","non-dropping-particle":"","parse-names":false,"suffix":""},{"dropping-particle":"","family":"Vilella","given":"Felipe","non-dropping-particle":"","parse-names":false,"suffix":""},{"dropping-particle":"","family":"Simón","given":"Carlos","non-dropping-particle":"","parse-names":false,"suffix":""},{"dropping-particle":"","family":"Salumets","given":"Andres","non-dropping-particle":"","parse-names":false,"suffix":""},{"dropping-particle":"","family":"Laisk","given":"Triin","non-dropping-particle":"","parse-names":false,"suffix":""}],"container-title":"Human reproduction (Oxford, England)","id":"ITEM-1","issue":"11","issued":{"date-parts":[["2018","11","1"]]},"page":"2074-2086","publisher":"Hum Reprod","title":"Endometrial receptivity revisited: endometrial transcriptome adjusted for tissue cellular heterogeneity","type":"article-journal","volume":"33"},"uris":["http://www.mendeley.com/documents/?uuid=4cdf2be5-29b0-3894-9e23-a91bcfce9064"]}],"mendeley":{"formattedCitation":"(Suhorutshenko &lt;i&gt;et al.&lt;/i&gt;, 2018)","plainTextFormattedCitation":"(Suhorutshenko et al., 2018)","previouslyFormattedCitation":"(Suhorutshenko &lt;i&gt;et al.&lt;/i&gt;, 2018)"},"properties":{"noteIndex":0},"schema":"https://github.com/citation-style-language/schema/raw/master/csl-citation.json"}</w:instrText>
            </w:r>
            <w:r>
              <w:rPr>
                <w:rFonts w:ascii="Times New Roman" w:hAnsi="Times New Roman" w:cs="Times New Roman"/>
                <w:sz w:val="22"/>
                <w:szCs w:val="22"/>
                <w:lang w:val="en-US"/>
              </w:rPr>
              <w:fldChar w:fldCharType="separate"/>
            </w:r>
            <w:r w:rsidRPr="00053100">
              <w:rPr>
                <w:rFonts w:ascii="Times New Roman" w:hAnsi="Times New Roman" w:cs="Times New Roman"/>
                <w:noProof/>
                <w:sz w:val="22"/>
                <w:szCs w:val="22"/>
                <w:lang w:val="en-US"/>
              </w:rPr>
              <w:t xml:space="preserve">(Suhorutshenko </w:t>
            </w:r>
            <w:r w:rsidRPr="00053100">
              <w:rPr>
                <w:rFonts w:ascii="Times New Roman" w:hAnsi="Times New Roman" w:cs="Times New Roman"/>
                <w:i/>
                <w:noProof/>
                <w:sz w:val="22"/>
                <w:szCs w:val="22"/>
                <w:lang w:val="en-US"/>
              </w:rPr>
              <w:t>et al.</w:t>
            </w:r>
            <w:r w:rsidRPr="00053100">
              <w:rPr>
                <w:rFonts w:ascii="Times New Roman" w:hAnsi="Times New Roman" w:cs="Times New Roman"/>
                <w:noProof/>
                <w:sz w:val="22"/>
                <w:szCs w:val="22"/>
                <w:lang w:val="en-US"/>
              </w:rPr>
              <w:t>, 2018)</w:t>
            </w:r>
            <w:r>
              <w:rPr>
                <w:rFonts w:ascii="Times New Roman" w:hAnsi="Times New Roman" w:cs="Times New Roman"/>
                <w:sz w:val="22"/>
                <w:szCs w:val="22"/>
                <w:lang w:val="en-US"/>
              </w:rPr>
              <w:fldChar w:fldCharType="end"/>
            </w:r>
          </w:p>
        </w:tc>
      </w:tr>
      <w:tr w:rsidR="00B7109B" w:rsidRPr="00053100" w14:paraId="328E7EA1" w14:textId="77777777" w:rsidTr="00B7109B">
        <w:trPr>
          <w:trHeight w:val="238"/>
        </w:trPr>
        <w:tc>
          <w:tcPr>
            <w:tcW w:w="1598" w:type="dxa"/>
            <w:tcBorders>
              <w:left w:val="single" w:sz="4" w:space="0" w:color="000000"/>
              <w:bottom w:val="single" w:sz="4" w:space="0" w:color="000000"/>
            </w:tcBorders>
          </w:tcPr>
          <w:p w14:paraId="7E11EA50" w14:textId="77777777" w:rsidR="00B7109B" w:rsidRPr="00053100" w:rsidRDefault="00B7109B" w:rsidP="00B7109B">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GSE111974</w:t>
            </w:r>
          </w:p>
        </w:tc>
        <w:tc>
          <w:tcPr>
            <w:tcW w:w="812" w:type="dxa"/>
            <w:tcBorders>
              <w:left w:val="single" w:sz="4" w:space="0" w:color="000000"/>
              <w:bottom w:val="single" w:sz="4" w:space="0" w:color="000000"/>
            </w:tcBorders>
          </w:tcPr>
          <w:p w14:paraId="1056FCDF"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Bulk</w:t>
            </w:r>
          </w:p>
        </w:tc>
        <w:tc>
          <w:tcPr>
            <w:tcW w:w="992" w:type="dxa"/>
            <w:tcBorders>
              <w:left w:val="single" w:sz="4" w:space="0" w:color="000000"/>
              <w:bottom w:val="single" w:sz="4" w:space="0" w:color="000000"/>
            </w:tcBorders>
          </w:tcPr>
          <w:p w14:paraId="742FA996"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Array</w:t>
            </w:r>
          </w:p>
        </w:tc>
        <w:tc>
          <w:tcPr>
            <w:tcW w:w="1276" w:type="dxa"/>
            <w:tcBorders>
              <w:left w:val="single" w:sz="4" w:space="0" w:color="000000"/>
              <w:bottom w:val="single" w:sz="4" w:space="0" w:color="000000"/>
            </w:tcBorders>
          </w:tcPr>
          <w:p w14:paraId="6389D0A2" w14:textId="37E331C8" w:rsidR="00B7109B" w:rsidRPr="00053100" w:rsidRDefault="00B7109B" w:rsidP="00B7109B">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(24), RIF (24)</w:t>
            </w:r>
          </w:p>
        </w:tc>
        <w:tc>
          <w:tcPr>
            <w:tcW w:w="1134" w:type="dxa"/>
            <w:tcBorders>
              <w:left w:val="single" w:sz="4" w:space="0" w:color="000000"/>
              <w:bottom w:val="single" w:sz="4" w:space="0" w:color="000000"/>
              <w:right w:val="single" w:sz="4" w:space="0" w:color="000000"/>
            </w:tcBorders>
          </w:tcPr>
          <w:p w14:paraId="02487D4C" w14:textId="705DA364" w:rsidR="00B7109B" w:rsidRPr="00053100" w:rsidRDefault="00B7109B" w:rsidP="00B7109B">
            <w:pPr>
              <w:pStyle w:val="ad"/>
              <w:spacing w:line="312" w:lineRule="auto"/>
              <w:jc w:val="both"/>
              <w:rPr>
                <w:rFonts w:ascii="Times New Roman" w:hAnsi="Times New Roman" w:cs="Times New Roman"/>
                <w:sz w:val="22"/>
                <w:szCs w:val="22"/>
                <w:lang w:val="en-US"/>
              </w:rPr>
            </w:pPr>
            <w:r w:rsidRPr="00482A5D">
              <w:rPr>
                <w:rFonts w:ascii="Times New Roman" w:hAnsi="Times New Roman" w:cs="Times New Roman"/>
                <w:sz w:val="22"/>
                <w:szCs w:val="22"/>
                <w:lang w:val="en-US"/>
              </w:rPr>
              <w:fldChar w:fldCharType="begin" w:fldLock="1"/>
            </w:r>
            <w:r w:rsidRPr="00482A5D">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sidRPr="00482A5D">
              <w:rPr>
                <w:rFonts w:ascii="Times New Roman" w:hAnsi="Times New Roman" w:cs="Times New Roman"/>
                <w:sz w:val="22"/>
                <w:szCs w:val="22"/>
                <w:lang w:val="en-US"/>
              </w:rPr>
              <w:fldChar w:fldCharType="separate"/>
            </w:r>
            <w:r w:rsidRPr="00482A5D">
              <w:rPr>
                <w:rFonts w:ascii="Times New Roman" w:hAnsi="Times New Roman" w:cs="Times New Roman"/>
                <w:noProof/>
                <w:sz w:val="22"/>
                <w:szCs w:val="22"/>
                <w:lang w:val="en-US"/>
              </w:rPr>
              <w:t xml:space="preserve">(Coughlan </w:t>
            </w:r>
            <w:r w:rsidRPr="00482A5D">
              <w:rPr>
                <w:rFonts w:ascii="Times New Roman" w:hAnsi="Times New Roman" w:cs="Times New Roman"/>
                <w:i/>
                <w:noProof/>
                <w:sz w:val="22"/>
                <w:szCs w:val="22"/>
                <w:lang w:val="en-US"/>
              </w:rPr>
              <w:t>et al.</w:t>
            </w:r>
            <w:r w:rsidRPr="00482A5D">
              <w:rPr>
                <w:rFonts w:ascii="Times New Roman" w:hAnsi="Times New Roman" w:cs="Times New Roman"/>
                <w:noProof/>
                <w:sz w:val="22"/>
                <w:szCs w:val="22"/>
                <w:lang w:val="en-US"/>
              </w:rPr>
              <w:t>, 2014)</w:t>
            </w:r>
            <w:r w:rsidRPr="00482A5D">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3915BB7B" w14:textId="64754798"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Natural</w:t>
            </w:r>
          </w:p>
        </w:tc>
        <w:tc>
          <w:tcPr>
            <w:tcW w:w="1134" w:type="dxa"/>
            <w:tcBorders>
              <w:left w:val="single" w:sz="4" w:space="0" w:color="000000"/>
              <w:bottom w:val="single" w:sz="4" w:space="0" w:color="000000"/>
            </w:tcBorders>
          </w:tcPr>
          <w:p w14:paraId="11C6355A"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LH + 7~10</w:t>
            </w:r>
          </w:p>
        </w:tc>
        <w:tc>
          <w:tcPr>
            <w:tcW w:w="992" w:type="dxa"/>
            <w:tcBorders>
              <w:left w:val="single" w:sz="4" w:space="0" w:color="000000"/>
              <w:bottom w:val="single" w:sz="4" w:space="0" w:color="000000"/>
            </w:tcBorders>
          </w:tcPr>
          <w:p w14:paraId="7BF98519"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2E741442"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3639EB57" w14:textId="53CE0411" w:rsidR="00B7109B" w:rsidRPr="00053100" w:rsidRDefault="00B7109B" w:rsidP="00B7109B">
            <w:pPr>
              <w:pStyle w:val="ad"/>
              <w:spacing w:line="312" w:lineRule="auto"/>
              <w:jc w:val="both"/>
              <w:rPr>
                <w:rFonts w:ascii="Times New Roman" w:hAnsi="Times New Roman" w:cs="Times New Roman"/>
                <w:sz w:val="22"/>
                <w:szCs w:val="22"/>
                <w:lang w:val="en-US"/>
              </w:rPr>
            </w:pPr>
            <w:r w:rsidRPr="00640723">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72222FC5"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Turkey</w:t>
            </w:r>
          </w:p>
        </w:tc>
        <w:tc>
          <w:tcPr>
            <w:tcW w:w="2469" w:type="dxa"/>
            <w:tcBorders>
              <w:left w:val="single" w:sz="4" w:space="0" w:color="000000"/>
              <w:bottom w:val="single" w:sz="4" w:space="0" w:color="000000"/>
              <w:right w:val="single" w:sz="4" w:space="0" w:color="000000"/>
            </w:tcBorders>
          </w:tcPr>
          <w:p w14:paraId="248F8FDB" w14:textId="48F540FC" w:rsidR="00B7109B" w:rsidRPr="00053100" w:rsidRDefault="00B7109B" w:rsidP="00B7109B">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{"citationItems":[{"id":"ITEM-1","itemData":{"DOI":"10.1177/1933719118792104","ISSN":"1933-7205","PMID":"30081718","abstract":"The aim of this prospective cohort study was to identify altered biologic processes in the endometrium that may be potential markers of receptive endometrium in patients with repeated implantation failure (RIF) as compared with fertile controls. The study was conducted in a university-affiliated in vitro fertilization (IVF) gynecology clinic and molecular biology and genetics laboratory. Healthy fertile controls (n = 24) and patients with RIF (n = 24) were recruited. Window of implantation gene profiling associated with RIF was performed. Six hundred forty-one differentially expressed genes were identified, and 44 pathways were found enriched. Upon clustering of the enriched pathways, 9 representative pathways were established. The important pathways that were identified included circadian rhythm, pathways in cancer, proteasome, complement and coagulation cascades, citrate cycle, adherens junction, immune system and inflammation, cell cycle, and renin–angiotensin system. The involvement of the circadian rhythm pathway and other related pathways may alter the endometrium’s functioning to ultimately cause RIF. Furthermore, we found that the pathogenesis of RIF was multifaceted and that numerous processes were involved. We believe that a better understanding of the underlying mechanisms of RIF will ultimately give rise to better treatment opportunities and to better outcomes in IVF.","author":[{"dropping-particle":"","family":"Bastu","given":"Ercan","non-dropping-particle":"","parse-names":false,"suffix":""},{"dropping-particle":"","family":"Demiral","given":"Irem","non-dropping-particle":"","parse-names":false,"suffix":""},{"dropping-particle":"","family":"Gunel","given":"Tuba","non-dropping-particle":"","parse-names":false,"suffix":""},{"dropping-particle":"","family":"Ulgen","given":"Ege","non-dropping-particle":"","parse-names":false,"suffix":""},{"dropping-particle":"","family":"Gumusoglu","given":"Ece","non-dropping-particle":"","parse-names":false,"suffix":""},{"dropping-particle":"","family":"Hosseini","given":"Mohammad Kazem","non-dropping-particle":"","parse-names":false,"suffix":""},{"dropping-particle":"","family":"Sezerman","given":"Ugur","non-dropping-particle":"","parse-names":false,"suffix":""},{"dropping-particle":"","family":"Buyru","given":"Faruk","non-dropping-particle":"","parse-names":false,"suffix":""},{"dropping-particle":"","family":"Yeh","given":"John","non-dropping-particle":"","parse-names":false,"suffix":""}],"container-title":"Reproductive sciences (Thousand Oaks, Calif.)","id":"ITEM-1","issue":"7","issued":{"date-parts":[["2019","7","1"]]},"page":"879-890","publisher":"Reprod Sci","title":"Potential Marker Pathways in the Endometrium That May Cause Recurrent Implantation Failure","type":"article-journal","volume":"26"},"uris":["http://www.mendeley.com/documents/?uuid=45ca8541-f9b2-3f63-b32a-17763cde7aab"]}],"mendeley":{"formattedCitation":"(Bastu &lt;i&gt;et al.&lt;/i&gt;, 2019)","plainTextFormattedCitation":"(Bastu et al., 2019)","previouslyFormattedCitation":"(Bastu &lt;i&gt;et al.&lt;/i&gt;, 2019)"},"properties":{"noteIndex":0},"schema":"https://github.com/citation-style-language/schema/raw/master/csl-citation.json"}</w:instrText>
            </w:r>
            <w:r>
              <w:rPr>
                <w:rFonts w:ascii="Times New Roman" w:hAnsi="Times New Roman" w:cs="Times New Roman"/>
                <w:sz w:val="22"/>
                <w:szCs w:val="22"/>
                <w:lang w:val="en-US"/>
              </w:rPr>
              <w:fldChar w:fldCharType="separate"/>
            </w:r>
            <w:r w:rsidRPr="00053100">
              <w:rPr>
                <w:rFonts w:ascii="Times New Roman" w:hAnsi="Times New Roman" w:cs="Times New Roman"/>
                <w:noProof/>
                <w:sz w:val="22"/>
                <w:szCs w:val="22"/>
                <w:lang w:val="en-US"/>
              </w:rPr>
              <w:t xml:space="preserve">(Bastu </w:t>
            </w:r>
            <w:r w:rsidRPr="00053100">
              <w:rPr>
                <w:rFonts w:ascii="Times New Roman" w:hAnsi="Times New Roman" w:cs="Times New Roman"/>
                <w:i/>
                <w:noProof/>
                <w:sz w:val="22"/>
                <w:szCs w:val="22"/>
                <w:lang w:val="en-US"/>
              </w:rPr>
              <w:t>et al.</w:t>
            </w:r>
            <w:r w:rsidRPr="00053100">
              <w:rPr>
                <w:rFonts w:ascii="Times New Roman" w:hAnsi="Times New Roman" w:cs="Times New Roman"/>
                <w:noProof/>
                <w:sz w:val="22"/>
                <w:szCs w:val="22"/>
                <w:lang w:val="en-US"/>
              </w:rPr>
              <w:t>, 2019)</w:t>
            </w:r>
            <w:r>
              <w:rPr>
                <w:rFonts w:ascii="Times New Roman" w:hAnsi="Times New Roman" w:cs="Times New Roman"/>
                <w:sz w:val="22"/>
                <w:szCs w:val="22"/>
                <w:lang w:val="en-US"/>
              </w:rPr>
              <w:fldChar w:fldCharType="end"/>
            </w:r>
          </w:p>
        </w:tc>
      </w:tr>
      <w:tr w:rsidR="00B7109B" w:rsidRPr="00053100" w14:paraId="7A216271" w14:textId="77777777" w:rsidTr="00B7109B">
        <w:trPr>
          <w:trHeight w:val="238"/>
        </w:trPr>
        <w:tc>
          <w:tcPr>
            <w:tcW w:w="1598" w:type="dxa"/>
            <w:tcBorders>
              <w:left w:val="single" w:sz="4" w:space="0" w:color="000000"/>
              <w:bottom w:val="single" w:sz="4" w:space="0" w:color="000000"/>
            </w:tcBorders>
          </w:tcPr>
          <w:p w14:paraId="1F9CB790" w14:textId="77777777" w:rsidR="00B7109B" w:rsidRPr="00053100" w:rsidRDefault="00B7109B" w:rsidP="00B7109B">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GSE188409</w:t>
            </w:r>
          </w:p>
        </w:tc>
        <w:tc>
          <w:tcPr>
            <w:tcW w:w="812" w:type="dxa"/>
            <w:tcBorders>
              <w:left w:val="single" w:sz="4" w:space="0" w:color="000000"/>
              <w:bottom w:val="single" w:sz="4" w:space="0" w:color="000000"/>
            </w:tcBorders>
          </w:tcPr>
          <w:p w14:paraId="5A3AD751"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Bulk</w:t>
            </w:r>
          </w:p>
        </w:tc>
        <w:tc>
          <w:tcPr>
            <w:tcW w:w="992" w:type="dxa"/>
            <w:tcBorders>
              <w:left w:val="single" w:sz="4" w:space="0" w:color="000000"/>
              <w:bottom w:val="single" w:sz="4" w:space="0" w:color="000000"/>
            </w:tcBorders>
          </w:tcPr>
          <w:p w14:paraId="1E632D9F"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Array</w:t>
            </w:r>
          </w:p>
        </w:tc>
        <w:tc>
          <w:tcPr>
            <w:tcW w:w="1276" w:type="dxa"/>
            <w:tcBorders>
              <w:left w:val="single" w:sz="4" w:space="0" w:color="000000"/>
              <w:bottom w:val="single" w:sz="4" w:space="0" w:color="000000"/>
            </w:tcBorders>
          </w:tcPr>
          <w:p w14:paraId="5DD9F584" w14:textId="0173F0C9" w:rsidR="00B7109B" w:rsidRPr="00053100" w:rsidRDefault="00B7109B" w:rsidP="00B7109B">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(5), RIF (5)</w:t>
            </w:r>
          </w:p>
        </w:tc>
        <w:tc>
          <w:tcPr>
            <w:tcW w:w="1134" w:type="dxa"/>
            <w:tcBorders>
              <w:left w:val="single" w:sz="4" w:space="0" w:color="000000"/>
              <w:bottom w:val="single" w:sz="4" w:space="0" w:color="000000"/>
              <w:right w:val="single" w:sz="4" w:space="0" w:color="000000"/>
            </w:tcBorders>
          </w:tcPr>
          <w:p w14:paraId="15EC9A82" w14:textId="124528F4" w:rsidR="00B7109B" w:rsidRPr="00053100" w:rsidRDefault="00B7109B" w:rsidP="00B7109B">
            <w:pPr>
              <w:pStyle w:val="ad"/>
              <w:spacing w:line="312" w:lineRule="auto"/>
              <w:jc w:val="both"/>
              <w:rPr>
                <w:rFonts w:ascii="Times New Roman" w:hAnsi="Times New Roman" w:cs="Times New Roman"/>
                <w:sz w:val="22"/>
                <w:szCs w:val="22"/>
                <w:lang w:val="en-US"/>
              </w:rPr>
            </w:pPr>
            <w:r w:rsidRPr="00482A5D">
              <w:rPr>
                <w:rFonts w:ascii="Times New Roman" w:hAnsi="Times New Roman" w:cs="Times New Roman"/>
                <w:sz w:val="22"/>
                <w:szCs w:val="22"/>
                <w:lang w:val="en-US"/>
              </w:rPr>
              <w:fldChar w:fldCharType="begin" w:fldLock="1"/>
            </w:r>
            <w:r w:rsidRPr="00482A5D">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sidRPr="00482A5D">
              <w:rPr>
                <w:rFonts w:ascii="Times New Roman" w:hAnsi="Times New Roman" w:cs="Times New Roman"/>
                <w:sz w:val="22"/>
                <w:szCs w:val="22"/>
                <w:lang w:val="en-US"/>
              </w:rPr>
              <w:fldChar w:fldCharType="separate"/>
            </w:r>
            <w:r w:rsidRPr="00482A5D">
              <w:rPr>
                <w:rFonts w:ascii="Times New Roman" w:hAnsi="Times New Roman" w:cs="Times New Roman"/>
                <w:noProof/>
                <w:sz w:val="22"/>
                <w:szCs w:val="22"/>
                <w:lang w:val="en-US"/>
              </w:rPr>
              <w:t xml:space="preserve">(Coughlan </w:t>
            </w:r>
            <w:r w:rsidRPr="00482A5D">
              <w:rPr>
                <w:rFonts w:ascii="Times New Roman" w:hAnsi="Times New Roman" w:cs="Times New Roman"/>
                <w:i/>
                <w:noProof/>
                <w:sz w:val="22"/>
                <w:szCs w:val="22"/>
                <w:lang w:val="en-US"/>
              </w:rPr>
              <w:t>et al.</w:t>
            </w:r>
            <w:r w:rsidRPr="00482A5D">
              <w:rPr>
                <w:rFonts w:ascii="Times New Roman" w:hAnsi="Times New Roman" w:cs="Times New Roman"/>
                <w:noProof/>
                <w:sz w:val="22"/>
                <w:szCs w:val="22"/>
                <w:lang w:val="en-US"/>
              </w:rPr>
              <w:t>, 2014)</w:t>
            </w:r>
            <w:r w:rsidRPr="00482A5D">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0DACB11B" w14:textId="31FB6F61"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Natural</w:t>
            </w:r>
          </w:p>
        </w:tc>
        <w:tc>
          <w:tcPr>
            <w:tcW w:w="1134" w:type="dxa"/>
            <w:tcBorders>
              <w:left w:val="single" w:sz="4" w:space="0" w:color="000000"/>
              <w:bottom w:val="single" w:sz="4" w:space="0" w:color="000000"/>
            </w:tcBorders>
          </w:tcPr>
          <w:p w14:paraId="35131EB8"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LH + 7</w:t>
            </w:r>
          </w:p>
        </w:tc>
        <w:tc>
          <w:tcPr>
            <w:tcW w:w="992" w:type="dxa"/>
            <w:tcBorders>
              <w:left w:val="single" w:sz="4" w:space="0" w:color="000000"/>
              <w:bottom w:val="single" w:sz="4" w:space="0" w:color="000000"/>
            </w:tcBorders>
          </w:tcPr>
          <w:p w14:paraId="398E3E61"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20FBD84C"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78A592E7" w14:textId="1AA6DB51" w:rsidR="00B7109B" w:rsidRPr="00053100" w:rsidRDefault="00B7109B" w:rsidP="00B7109B">
            <w:pPr>
              <w:pStyle w:val="ad"/>
              <w:spacing w:line="312" w:lineRule="auto"/>
              <w:jc w:val="both"/>
              <w:rPr>
                <w:rFonts w:ascii="Times New Roman" w:hAnsi="Times New Roman" w:cs="Times New Roman"/>
                <w:sz w:val="22"/>
                <w:szCs w:val="22"/>
                <w:lang w:val="en-US"/>
              </w:rPr>
            </w:pPr>
            <w:r w:rsidRPr="00640723">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71E63BA5"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China</w:t>
            </w:r>
          </w:p>
        </w:tc>
        <w:tc>
          <w:tcPr>
            <w:tcW w:w="2469" w:type="dxa"/>
            <w:tcBorders>
              <w:left w:val="single" w:sz="4" w:space="0" w:color="000000"/>
              <w:bottom w:val="single" w:sz="4" w:space="0" w:color="000000"/>
              <w:right w:val="single" w:sz="4" w:space="0" w:color="000000"/>
            </w:tcBorders>
          </w:tcPr>
          <w:p w14:paraId="288B113F" w14:textId="4F0CF622" w:rsidR="00B7109B" w:rsidRPr="00053100" w:rsidRDefault="00B7109B" w:rsidP="00B7109B">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{"citationItems":[{"id":"ITEM-1","itemData":{"DOI":"10.1530/REP-21-0300","ISSN":"1741-7899","PMID":"35038314","abstract":"Recurrent implantation failure (RIF) is a challenge in the field of reproductive medicine, but mechanisms for its occurrence remain still unclear. Long non-coding RNAs (lncRNAs) have been found to play a vital role in many different diseases. In recent years, the differentially expressed lncRNAs have been reported in endometrial tissues. Here, we profiled dysregulated lncRNAs and mRNAs in the endometrial tissues of RIF patients and performed correlation analysis. We found that LINC02190 was upregulated in RIF endometrium and was bound to the integrin αD (ITGAD) mRNA promoter. Immunofluorescence assays were used to detect the location of ITGAD in the Ishikawa cell line and patients' endometrial biopsies. Overexpressed LINC02190 could decrease the expression of ITGAD and the adhesion rate of Ishikawa and JAR cells. Knockdown of the expression of LINC02190 significantly increased the ITGAD level, as well as the adhesion rate of Ishikawa and JAR cells. Furthermore, we demonstrated that the 150-250 bps of LINC02190 were the cis-elements involved in the regulation of ITGAD promoter activities. In conclusion, the results demonstrated that LINC02190 plays an important role in the occurrence of RIF, and the molecular mechanism may be associated with the embryo-endometrial attachment mediated by ITGAD. This study emphasizes the importance of lncRNAs in the occurrence of RIF and provides a potential new biomarker for diagnosis and therapies.","author":[{"dropping-particle":"","family":"Zhao","given":"Feiyan","non-dropping-particle":"","parse-names":false,"suffix":""},{"dropping-particle":"","family":"Chen","given":"Tong","non-dropping-particle":"","parse-names":false,"suffix":""},{"dropping-particle":"","family":"Zhao","given":"Xuehan","non-dropping-particle":"","parse-names":false,"suffix":""},{"dropping-particle":"","family":"Wang","given":"Qin","non-dropping-particle":"","parse-names":false,"suffix":""},{"dropping-particle":"","family":"Lan","given":"Yonglian","non-dropping-particle":"","parse-names":false,"suffix":""},{"dropping-particle":"","family":"Liang","given":"Yu","non-dropping-particle":"","parse-names":false,"suffix":""},{"dropping-particle":"","family":"Li","given":"Ying","non-dropping-particle":"","parse-names":false,"suffix":""},{"dropping-particle":"","family":"Wang","given":"Shuyu","non-dropping-particle":"","parse-names":false,"suffix":""},{"dropping-particle":"","family":"Yang","given":"Yang","non-dropping-particle":"","parse-names":false,"suffix":""},{"dropping-particle":"","family":"Yang","given":"Xiaokui","non-dropping-particle":"","parse-names":false,"suffix":""}],"container-title":"Reproduction (Cambridge, England)","id":"ITEM-1","issue":"2","issued":{"date-parts":[["2022","2","1"]]},"page":"107-118","publisher":"Reproduction","title":"LINC02190 inhibits the embryo-endometrial attachment by decreasing ITGAD expression","type":"article-journal","volume":"163"},"uris":["http://www.mendeley.com/documents/?uuid=8ddb5d43-1bf5-369a-8e73-b4459b125240"]}],"mendeley":{"formattedCitation":"(Zhao &lt;i&gt;et al.&lt;/i&gt;, 2022)","plainTextFormattedCitation":"(Zhao et al., 2022)","previouslyFormattedCitation":"(Zhao &lt;i&gt;et al.&lt;/i&gt;, 2022)"},"properties":{"noteIndex":0},"schema":"https://github.com/citation-style-language/schema/raw/master/csl-citation.json"}</w:instrText>
            </w:r>
            <w:r>
              <w:rPr>
                <w:rFonts w:ascii="Times New Roman" w:hAnsi="Times New Roman" w:cs="Times New Roman"/>
                <w:sz w:val="22"/>
                <w:szCs w:val="22"/>
                <w:lang w:val="en-US"/>
              </w:rPr>
              <w:fldChar w:fldCharType="separate"/>
            </w:r>
            <w:r w:rsidRPr="00053100">
              <w:rPr>
                <w:rFonts w:ascii="Times New Roman" w:hAnsi="Times New Roman" w:cs="Times New Roman"/>
                <w:noProof/>
                <w:sz w:val="22"/>
                <w:szCs w:val="22"/>
                <w:lang w:val="en-US"/>
              </w:rPr>
              <w:t xml:space="preserve">(Zhao </w:t>
            </w:r>
            <w:r w:rsidRPr="00053100">
              <w:rPr>
                <w:rFonts w:ascii="Times New Roman" w:hAnsi="Times New Roman" w:cs="Times New Roman"/>
                <w:i/>
                <w:noProof/>
                <w:sz w:val="22"/>
                <w:szCs w:val="22"/>
                <w:lang w:val="en-US"/>
              </w:rPr>
              <w:t>et al.</w:t>
            </w:r>
            <w:r w:rsidRPr="00053100">
              <w:rPr>
                <w:rFonts w:ascii="Times New Roman" w:hAnsi="Times New Roman" w:cs="Times New Roman"/>
                <w:noProof/>
                <w:sz w:val="22"/>
                <w:szCs w:val="22"/>
                <w:lang w:val="en-US"/>
              </w:rPr>
              <w:t>, 2022)</w:t>
            </w:r>
            <w:r>
              <w:rPr>
                <w:rFonts w:ascii="Times New Roman" w:hAnsi="Times New Roman" w:cs="Times New Roman"/>
                <w:sz w:val="22"/>
                <w:szCs w:val="22"/>
                <w:lang w:val="en-US"/>
              </w:rPr>
              <w:fldChar w:fldCharType="end"/>
            </w:r>
          </w:p>
        </w:tc>
      </w:tr>
      <w:tr w:rsidR="00B7109B" w:rsidRPr="00053100" w14:paraId="609BCC27" w14:textId="77777777" w:rsidTr="00B7109B">
        <w:trPr>
          <w:trHeight w:val="250"/>
        </w:trPr>
        <w:tc>
          <w:tcPr>
            <w:tcW w:w="1598" w:type="dxa"/>
            <w:tcBorders>
              <w:left w:val="single" w:sz="4" w:space="0" w:color="000000"/>
              <w:bottom w:val="single" w:sz="4" w:space="0" w:color="000000"/>
            </w:tcBorders>
          </w:tcPr>
          <w:p w14:paraId="41D692BA" w14:textId="03474CB5" w:rsidR="00B7109B" w:rsidRPr="00053100" w:rsidRDefault="00B7109B" w:rsidP="00B7109B">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GSE183837</w:t>
            </w:r>
          </w:p>
        </w:tc>
        <w:tc>
          <w:tcPr>
            <w:tcW w:w="812" w:type="dxa"/>
            <w:tcBorders>
              <w:left w:val="single" w:sz="4" w:space="0" w:color="000000"/>
              <w:bottom w:val="single" w:sz="4" w:space="0" w:color="000000"/>
            </w:tcBorders>
          </w:tcPr>
          <w:p w14:paraId="5FC7B4F2" w14:textId="1F3FE700"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Single cells</w:t>
            </w:r>
          </w:p>
        </w:tc>
        <w:tc>
          <w:tcPr>
            <w:tcW w:w="992" w:type="dxa"/>
            <w:tcBorders>
              <w:left w:val="single" w:sz="4" w:space="0" w:color="000000"/>
              <w:bottom w:val="single" w:sz="4" w:space="0" w:color="000000"/>
            </w:tcBorders>
          </w:tcPr>
          <w:p w14:paraId="0B759DC8" w14:textId="4C07AA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RNA-seq</w:t>
            </w:r>
          </w:p>
        </w:tc>
        <w:tc>
          <w:tcPr>
            <w:tcW w:w="1276" w:type="dxa"/>
            <w:tcBorders>
              <w:left w:val="single" w:sz="4" w:space="0" w:color="000000"/>
              <w:bottom w:val="single" w:sz="4" w:space="0" w:color="000000"/>
            </w:tcBorders>
          </w:tcPr>
          <w:p w14:paraId="3A32AA6B" w14:textId="210EB3F1" w:rsidR="00B7109B" w:rsidRPr="00053100" w:rsidRDefault="00B7109B" w:rsidP="00B7109B">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w:t>
            </w:r>
            <w:r w:rsidRPr="0051573A">
              <w:rPr>
                <w:rFonts w:ascii="Times New Roman" w:hAnsi="Times New Roman" w:cs="Times New Roman"/>
                <w:sz w:val="22"/>
                <w:szCs w:val="22"/>
                <w:lang w:val="en-US"/>
              </w:rPr>
              <w:t>3</w:t>
            </w:r>
            <w:r w:rsidRPr="00053100">
              <w:rPr>
                <w:rFonts w:ascii="Times New Roman" w:hAnsi="Times New Roman" w:cs="Times New Roman"/>
                <w:sz w:val="22"/>
                <w:szCs w:val="22"/>
                <w:lang w:val="en-US"/>
              </w:rPr>
              <w:t>), RIF (</w:t>
            </w:r>
            <w:r w:rsidRPr="0051573A">
              <w:rPr>
                <w:rFonts w:ascii="Times New Roman" w:hAnsi="Times New Roman" w:cs="Times New Roman"/>
                <w:sz w:val="22"/>
                <w:szCs w:val="22"/>
                <w:lang w:val="en-US"/>
              </w:rPr>
              <w:t>6</w:t>
            </w:r>
            <w:r w:rsidRPr="00053100">
              <w:rPr>
                <w:rFonts w:ascii="Times New Roman" w:hAnsi="Times New Roman" w:cs="Times New Roman"/>
                <w:sz w:val="22"/>
                <w:szCs w:val="22"/>
                <w:lang w:val="en-US"/>
              </w:rPr>
              <w:t>)</w:t>
            </w:r>
          </w:p>
        </w:tc>
        <w:tc>
          <w:tcPr>
            <w:tcW w:w="1134" w:type="dxa"/>
            <w:tcBorders>
              <w:left w:val="single" w:sz="4" w:space="0" w:color="000000"/>
              <w:bottom w:val="single" w:sz="4" w:space="0" w:color="000000"/>
              <w:right w:val="single" w:sz="4" w:space="0" w:color="000000"/>
            </w:tcBorders>
          </w:tcPr>
          <w:p w14:paraId="0A42871D" w14:textId="0CDA75F1" w:rsidR="00B7109B" w:rsidRPr="00053100" w:rsidRDefault="00B7109B" w:rsidP="00B7109B">
            <w:pPr>
              <w:pStyle w:val="ad"/>
              <w:spacing w:line="312" w:lineRule="auto"/>
              <w:jc w:val="both"/>
              <w:rPr>
                <w:rFonts w:ascii="Times New Roman" w:hAnsi="Times New Roman" w:cs="Times New Roman"/>
                <w:sz w:val="22"/>
                <w:szCs w:val="22"/>
                <w:lang w:val="en-US"/>
              </w:rPr>
            </w:pPr>
            <w:r w:rsidRPr="00482A5D">
              <w:rPr>
                <w:rFonts w:ascii="Times New Roman" w:hAnsi="Times New Roman" w:cs="Times New Roman"/>
                <w:sz w:val="22"/>
                <w:szCs w:val="22"/>
                <w:lang w:val="en-US"/>
              </w:rPr>
              <w:fldChar w:fldCharType="begin" w:fldLock="1"/>
            </w:r>
            <w:r w:rsidRPr="00482A5D">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sidRPr="00482A5D">
              <w:rPr>
                <w:rFonts w:ascii="Times New Roman" w:hAnsi="Times New Roman" w:cs="Times New Roman"/>
                <w:sz w:val="22"/>
                <w:szCs w:val="22"/>
                <w:lang w:val="en-US"/>
              </w:rPr>
              <w:fldChar w:fldCharType="separate"/>
            </w:r>
            <w:r w:rsidRPr="00482A5D">
              <w:rPr>
                <w:rFonts w:ascii="Times New Roman" w:hAnsi="Times New Roman" w:cs="Times New Roman"/>
                <w:noProof/>
                <w:sz w:val="22"/>
                <w:szCs w:val="22"/>
                <w:lang w:val="en-US"/>
              </w:rPr>
              <w:t xml:space="preserve">(Coughlan </w:t>
            </w:r>
            <w:r w:rsidRPr="00482A5D">
              <w:rPr>
                <w:rFonts w:ascii="Times New Roman" w:hAnsi="Times New Roman" w:cs="Times New Roman"/>
                <w:i/>
                <w:noProof/>
                <w:sz w:val="22"/>
                <w:szCs w:val="22"/>
                <w:lang w:val="en-US"/>
              </w:rPr>
              <w:t>et al.</w:t>
            </w:r>
            <w:r w:rsidRPr="00482A5D">
              <w:rPr>
                <w:rFonts w:ascii="Times New Roman" w:hAnsi="Times New Roman" w:cs="Times New Roman"/>
                <w:noProof/>
                <w:sz w:val="22"/>
                <w:szCs w:val="22"/>
                <w:lang w:val="en-US"/>
              </w:rPr>
              <w:t>, 2014)</w:t>
            </w:r>
            <w:r w:rsidRPr="00482A5D">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44C09D84" w14:textId="30F03589"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Natural</w:t>
            </w:r>
          </w:p>
        </w:tc>
        <w:tc>
          <w:tcPr>
            <w:tcW w:w="1134" w:type="dxa"/>
            <w:tcBorders>
              <w:left w:val="single" w:sz="4" w:space="0" w:color="000000"/>
              <w:bottom w:val="single" w:sz="4" w:space="0" w:color="000000"/>
            </w:tcBorders>
          </w:tcPr>
          <w:p w14:paraId="2C67B835" w14:textId="295CB6C4"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LH + 7</w:t>
            </w:r>
          </w:p>
        </w:tc>
        <w:tc>
          <w:tcPr>
            <w:tcW w:w="992" w:type="dxa"/>
            <w:tcBorders>
              <w:left w:val="single" w:sz="4" w:space="0" w:color="000000"/>
              <w:bottom w:val="single" w:sz="4" w:space="0" w:color="000000"/>
            </w:tcBorders>
          </w:tcPr>
          <w:p w14:paraId="22128845" w14:textId="06A637C0"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3C028FB1" w14:textId="4C6B72F8"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494F3DDC" w14:textId="27730085" w:rsidR="00B7109B" w:rsidRPr="00053100" w:rsidRDefault="00B7109B" w:rsidP="00B7109B">
            <w:pPr>
              <w:pStyle w:val="ad"/>
              <w:spacing w:line="312" w:lineRule="auto"/>
              <w:jc w:val="both"/>
              <w:rPr>
                <w:rFonts w:ascii="Times New Roman" w:hAnsi="Times New Roman" w:cs="Times New Roman"/>
                <w:sz w:val="22"/>
                <w:szCs w:val="22"/>
                <w:lang w:val="en-US"/>
              </w:rPr>
            </w:pPr>
            <w:r w:rsidRPr="00640723">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5B3CEF31" w14:textId="34F9E1C0"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China</w:t>
            </w:r>
          </w:p>
        </w:tc>
        <w:tc>
          <w:tcPr>
            <w:tcW w:w="2469" w:type="dxa"/>
            <w:tcBorders>
              <w:left w:val="single" w:sz="4" w:space="0" w:color="000000"/>
              <w:bottom w:val="single" w:sz="4" w:space="0" w:color="000000"/>
              <w:right w:val="single" w:sz="4" w:space="0" w:color="000000"/>
            </w:tcBorders>
          </w:tcPr>
          <w:p w14:paraId="4BB101B8" w14:textId="28517947" w:rsidR="00B7109B" w:rsidRPr="00053100" w:rsidRDefault="00B7109B" w:rsidP="00B7109B">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{"citationItems":[{"id":"ITEM-1","itemData":{"DOI":"10.7150/THNO.74053","ISSN":"1838-7640","PMID":"36185612","abstract":"Introduction: Despite great advances in assisted reproductive technology (ART), recurrent implantation failure (RIF) cannot be effectively avoided. Notably, cellular characteristics and communication that regulate endometrial receptivity and differentiation, and its disorders in RIF at window of implantation (WOI) remain rudimentary. Objectives: In this study, we profiled the endometrial cells present at the WOI timing in RIF patients and healthy controls using single-cell RNA sequencing (scRNA-seq) and provided a detailed molecular and cellular map of a healthy and RIF endometrium at the WOI. Method: In the current study, the endometrium from RIF patient (n = 6; age range, 32 - 35 years) and control (Ctrl) (n = 3; age range, 29 - 35 years) groups were studied at a single-cell resolution. single-cell RNA-seq and analysis were performed on the endometrium of patients with RIF and Ctrl. Immunofluorescence, flow cytometry assays, and quantitative real-time polymerase chain reaction (qRT-PCR) were performed to verify cellular identity and function. Results: We profiled the transcriptomes of 60222 primary human endometrial cells isolated from control and RIF patients at a single-cell resolution. We discovered dramatic differential expression of endometrial receptivity-related genes in four major endometrial fibroblast-like cells from RIF patients compared to the control endometrium. We observed that CD49a+CXCR4+NK cells were diminished in proportion with RIF. The decrease in subset of CD63highPGRhigh endometrial epithelial cells with high levels of progesterone receptor, autophagy and exosomes should contribute to the decrease in subset of NK cells. Additionally, we characterized aberrant molecular and cellular characteristics and endometrial cell-cell communication disorders in RIF patients. Conclusion: Our study provides deeper insights into endometrial microenvironment disorder of RIF that are potentially applicable to improving the etiological diagnosis and therapeutics of unexplained RIF.","author":[{"dropping-particle":"","family":"Lai","given":"Zhen Zhen","non-dropping-particle":"","parse-names":false,"suffix":""},{"dropping-particle":"","family":"Wang","given":"Yun","non-dropping-particle":"","parse-names":false,"suffix":""},{"dropping-particle":"","family":"Zhou","given":"Wen Jie","non-dropping-particle":"","parse-names":false,"suffix":""},{"dropping-particle":"","family":"Liang","given":"Zhou","non-dropping-particle":"","parse-names":false,"suffix":""},{"dropping-particle":"","family":"Shi","given":"Jia Wei","non-dropping-particle":"","parse-names":false,"suffix":""},{"dropping-particle":"","family":"Yang","given":"Hui Li","non-dropping-particle":"","parse-names":false,"suffix":""},{"dropping-particle":"","family":"Xie","given":"Feng","non-dropping-particle":"","parse-names":false,"suffix":""},{"dropping-particle":"","family":"Chen","given":"Wei Dong","non-dropping-particle":"","parse-names":false,"suffix":""},{"dropping-particle":"","family":"Zhu","given":"Rui","non-dropping-particle":"","parse-names":false,"suffix":""},{"dropping-particle":"","family":"Zhang","given":"Ce","non-dropping-particle":"","parse-names":false,"suffix":""},{"dropping-particle":"","family":"Mei","given":"Jie","non-dropping-particle":"","parse-names":false,"suffix":""},{"dropping-particle":"","family":"Zhao","given":"Jian Yuan","non-dropping-particle":"","parse-names":false,"suffix":""},{"dropping-particle":"","family":"Ye","given":"Jiang Feng","non-dropping-particle":"","parse-names":false,"suffix":""},{"dropping-particle":"","family":"Zhang","given":"Tao","non-dropping-particle":"","parse-names":false,"suffix":""},{"dropping-particle":"","family":"Li","given":"Ming Qing","non-dropping-particle":"","parse-names":false,"suffix":""}],"container-title":"Theranostics","id":"ITEM-1","issue":"15","issued":{"date-parts":[["2022"]]},"page":"6527-6547","publisher":"Ivyspring International Publisher","title":"Single-cell transcriptome profiling of the human endometrium of patients with recurrent implantation failure","type":"article-journal","volume":"12"},"uris":["http://www.mendeley.com/documents/?uuid=a248f261-46ed-3c02-be04-806c64656db4"]}],"mendeley":{"formattedCitation":"(Lai &lt;i&gt;et al.&lt;/i&gt;, 2022)","plainTextFormattedCitation":"(Lai et al., 2022)","previouslyFormattedCitation":"(Lai &lt;i&gt;et al.&lt;/i&gt;, 2022)"},"properties":{"noteIndex":0},"schema":"https://github.com/citation-style-language/schema/raw/master/csl-citation.json"}</w:instrText>
            </w:r>
            <w:r>
              <w:rPr>
                <w:rFonts w:ascii="Times New Roman" w:hAnsi="Times New Roman" w:cs="Times New Roman"/>
                <w:sz w:val="22"/>
                <w:szCs w:val="22"/>
                <w:lang w:val="en-US"/>
              </w:rPr>
              <w:fldChar w:fldCharType="separate"/>
            </w:r>
            <w:r w:rsidRPr="00053100">
              <w:rPr>
                <w:rFonts w:ascii="Times New Roman" w:hAnsi="Times New Roman" w:cs="Times New Roman"/>
                <w:noProof/>
                <w:sz w:val="22"/>
                <w:szCs w:val="22"/>
                <w:lang w:val="en-US"/>
              </w:rPr>
              <w:t xml:space="preserve">(Lai </w:t>
            </w:r>
            <w:r w:rsidRPr="00053100">
              <w:rPr>
                <w:rFonts w:ascii="Times New Roman" w:hAnsi="Times New Roman" w:cs="Times New Roman"/>
                <w:i/>
                <w:noProof/>
                <w:sz w:val="22"/>
                <w:szCs w:val="22"/>
                <w:lang w:val="en-US"/>
              </w:rPr>
              <w:t>et al.</w:t>
            </w:r>
            <w:r w:rsidRPr="00053100">
              <w:rPr>
                <w:rFonts w:ascii="Times New Roman" w:hAnsi="Times New Roman" w:cs="Times New Roman"/>
                <w:noProof/>
                <w:sz w:val="22"/>
                <w:szCs w:val="22"/>
                <w:lang w:val="en-US"/>
              </w:rPr>
              <w:t>, 2022)</w:t>
            </w:r>
            <w:r>
              <w:rPr>
                <w:rFonts w:ascii="Times New Roman" w:hAnsi="Times New Roman" w:cs="Times New Roman"/>
                <w:sz w:val="22"/>
                <w:szCs w:val="22"/>
                <w:lang w:val="en-US"/>
              </w:rPr>
              <w:fldChar w:fldCharType="end"/>
            </w:r>
          </w:p>
        </w:tc>
      </w:tr>
      <w:tr w:rsidR="00B7109B" w:rsidRPr="00053100" w14:paraId="443D6C1F" w14:textId="77777777" w:rsidTr="00B7109B">
        <w:trPr>
          <w:trHeight w:val="238"/>
        </w:trPr>
        <w:tc>
          <w:tcPr>
            <w:tcW w:w="1598" w:type="dxa"/>
            <w:tcBorders>
              <w:left w:val="single" w:sz="4" w:space="0" w:color="000000"/>
              <w:bottom w:val="single" w:sz="4" w:space="0" w:color="000000"/>
            </w:tcBorders>
          </w:tcPr>
          <w:p w14:paraId="6DCA90F8" w14:textId="77777777" w:rsidR="00B7109B" w:rsidRPr="00053100" w:rsidRDefault="00B7109B" w:rsidP="00B7109B">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GSE205398</w:t>
            </w:r>
          </w:p>
        </w:tc>
        <w:tc>
          <w:tcPr>
            <w:tcW w:w="812" w:type="dxa"/>
            <w:tcBorders>
              <w:left w:val="single" w:sz="4" w:space="0" w:color="000000"/>
              <w:bottom w:val="single" w:sz="4" w:space="0" w:color="000000"/>
            </w:tcBorders>
          </w:tcPr>
          <w:p w14:paraId="0F28671E"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Bulk</w:t>
            </w:r>
          </w:p>
        </w:tc>
        <w:tc>
          <w:tcPr>
            <w:tcW w:w="992" w:type="dxa"/>
            <w:tcBorders>
              <w:left w:val="single" w:sz="4" w:space="0" w:color="000000"/>
              <w:bottom w:val="single" w:sz="4" w:space="0" w:color="000000"/>
            </w:tcBorders>
          </w:tcPr>
          <w:p w14:paraId="1C08A877"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RNA-seq</w:t>
            </w:r>
          </w:p>
        </w:tc>
        <w:tc>
          <w:tcPr>
            <w:tcW w:w="1276" w:type="dxa"/>
            <w:tcBorders>
              <w:left w:val="single" w:sz="4" w:space="0" w:color="000000"/>
              <w:bottom w:val="single" w:sz="4" w:space="0" w:color="000000"/>
            </w:tcBorders>
          </w:tcPr>
          <w:p w14:paraId="1333AA69" w14:textId="18C5FC18" w:rsidR="00B7109B" w:rsidRPr="00053100" w:rsidRDefault="00B7109B" w:rsidP="00B7109B">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(3), RIF (3)</w:t>
            </w:r>
          </w:p>
        </w:tc>
        <w:tc>
          <w:tcPr>
            <w:tcW w:w="1134" w:type="dxa"/>
            <w:tcBorders>
              <w:left w:val="single" w:sz="4" w:space="0" w:color="000000"/>
              <w:bottom w:val="single" w:sz="4" w:space="0" w:color="000000"/>
              <w:right w:val="single" w:sz="4" w:space="0" w:color="000000"/>
            </w:tcBorders>
          </w:tcPr>
          <w:p w14:paraId="5DA5977C" w14:textId="66CD92A9" w:rsidR="00B7109B" w:rsidRPr="00053100" w:rsidRDefault="00B7109B" w:rsidP="00B7109B">
            <w:pPr>
              <w:pStyle w:val="ad"/>
              <w:spacing w:line="312" w:lineRule="auto"/>
              <w:jc w:val="both"/>
              <w:rPr>
                <w:rFonts w:ascii="Times New Roman" w:hAnsi="Times New Roman" w:cs="Times New Roman"/>
                <w:sz w:val="22"/>
                <w:szCs w:val="22"/>
                <w:lang w:val="en-US"/>
              </w:rPr>
            </w:pPr>
            <w:r w:rsidRPr="00482A5D">
              <w:rPr>
                <w:rFonts w:ascii="Times New Roman" w:hAnsi="Times New Roman" w:cs="Times New Roman"/>
                <w:sz w:val="22"/>
                <w:szCs w:val="22"/>
                <w:lang w:val="en-US"/>
              </w:rPr>
              <w:fldChar w:fldCharType="begin" w:fldLock="1"/>
            </w:r>
            <w:r w:rsidRPr="00482A5D">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sidRPr="00482A5D">
              <w:rPr>
                <w:rFonts w:ascii="Times New Roman" w:hAnsi="Times New Roman" w:cs="Times New Roman"/>
                <w:sz w:val="22"/>
                <w:szCs w:val="22"/>
                <w:lang w:val="en-US"/>
              </w:rPr>
              <w:fldChar w:fldCharType="separate"/>
            </w:r>
            <w:r w:rsidRPr="00482A5D">
              <w:rPr>
                <w:rFonts w:ascii="Times New Roman" w:hAnsi="Times New Roman" w:cs="Times New Roman"/>
                <w:noProof/>
                <w:sz w:val="22"/>
                <w:szCs w:val="22"/>
                <w:lang w:val="en-US"/>
              </w:rPr>
              <w:t xml:space="preserve">(Coughlan </w:t>
            </w:r>
            <w:r w:rsidRPr="00482A5D">
              <w:rPr>
                <w:rFonts w:ascii="Times New Roman" w:hAnsi="Times New Roman" w:cs="Times New Roman"/>
                <w:i/>
                <w:noProof/>
                <w:sz w:val="22"/>
                <w:szCs w:val="22"/>
                <w:lang w:val="en-US"/>
              </w:rPr>
              <w:t>et al.</w:t>
            </w:r>
            <w:r w:rsidRPr="00482A5D">
              <w:rPr>
                <w:rFonts w:ascii="Times New Roman" w:hAnsi="Times New Roman" w:cs="Times New Roman"/>
                <w:noProof/>
                <w:sz w:val="22"/>
                <w:szCs w:val="22"/>
                <w:lang w:val="en-US"/>
              </w:rPr>
              <w:t>, 2014)</w:t>
            </w:r>
            <w:r w:rsidRPr="00482A5D">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401D3511" w14:textId="35461BCF"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Natural</w:t>
            </w:r>
          </w:p>
        </w:tc>
        <w:tc>
          <w:tcPr>
            <w:tcW w:w="1134" w:type="dxa"/>
            <w:tcBorders>
              <w:left w:val="single" w:sz="4" w:space="0" w:color="000000"/>
              <w:bottom w:val="single" w:sz="4" w:space="0" w:color="000000"/>
            </w:tcBorders>
          </w:tcPr>
          <w:p w14:paraId="3B89AC7C"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MS</w:t>
            </w:r>
          </w:p>
        </w:tc>
        <w:tc>
          <w:tcPr>
            <w:tcW w:w="992" w:type="dxa"/>
            <w:tcBorders>
              <w:left w:val="single" w:sz="4" w:space="0" w:color="000000"/>
              <w:bottom w:val="single" w:sz="4" w:space="0" w:color="000000"/>
            </w:tcBorders>
          </w:tcPr>
          <w:p w14:paraId="2BAAECB0"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5746D508"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53677D7B" w14:textId="30366366" w:rsidR="00B7109B" w:rsidRPr="00053100" w:rsidRDefault="00B7109B" w:rsidP="00B7109B">
            <w:pPr>
              <w:pStyle w:val="ad"/>
              <w:spacing w:line="312" w:lineRule="auto"/>
              <w:jc w:val="both"/>
              <w:rPr>
                <w:rFonts w:ascii="Times New Roman" w:hAnsi="Times New Roman" w:cs="Times New Roman"/>
                <w:sz w:val="22"/>
                <w:szCs w:val="22"/>
                <w:lang w:val="en-US"/>
              </w:rPr>
            </w:pPr>
            <w:r w:rsidRPr="00640723">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405397E1"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China</w:t>
            </w:r>
          </w:p>
        </w:tc>
        <w:tc>
          <w:tcPr>
            <w:tcW w:w="2469" w:type="dxa"/>
            <w:tcBorders>
              <w:left w:val="single" w:sz="4" w:space="0" w:color="000000"/>
              <w:bottom w:val="single" w:sz="4" w:space="0" w:color="000000"/>
              <w:right w:val="single" w:sz="4" w:space="0" w:color="000000"/>
            </w:tcBorders>
          </w:tcPr>
          <w:p w14:paraId="61F662E9" w14:textId="46703A7A" w:rsidR="00B7109B" w:rsidRPr="00053100" w:rsidRDefault="00B7109B" w:rsidP="00B7109B">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{"citationItems":[{"id":"ITEM-1","itemData":{"DOI":"10.1186/S12920-024-02013-3","ISSN":"1755-8794","PMID":"39394578","abstract":"N6-methyladenosine (m6A) is involved in most biological processes and actively participates in the regulation of reproduction. According to recent research, long non-coding RNAs (lncRNAs) and their m6A modifications are involved in reproductive diseases. In the present study, using m6A-modified RNA immunoprecipitation sequencing (m6A-seq), we established the m6A methylation transcription profiles in patients with recurrent implantation failure (RIF) for the first time. There were 1443 significantly upregulated m6A peaks and 425 significantly downregulated m6A peaks in RIF. Gene Ontology and Kyoto Encyclopedia of Genes and Genomes pathway analyses revealed that genes associated with differentially methylated lncRNAs are involved in the p53 signalling pathway and amino acid metabolism. The competing endogenous RNA network revealed a regulatory relationship between lncRNAs, microRNAs and messenger RNAs. We verified the m6A methylation abundances of lncRNAs by using m6A-RNA immunoprecipitation (MeRIP)–real-time polymerase chain reaction. This study lays a foundation for further exploration of the potential role of m6A modification in the pathogenesis of RIF.","author":[{"dropping-particle":"","family":"Wang","given":"Ting","non-dropping-particle":"","parse-names":false,"suffix":""},{"dropping-particle":"","family":"Zhang","given":"Lili","non-dropping-particle":"","parse-names":false,"suffix":""},{"dropping-particle":"","family":"Gao","given":"Wenxin","non-dropping-particle":"","parse-names":false,"suffix":""},{"dropping-particle":"","family":"Liu","given":"Yidan","non-dropping-particle":"","parse-names":false,"suffix":""},{"dropping-particle":"","family":"Yue","given":"Feng","non-dropping-particle":"","parse-names":false,"suffix":""},{"dropping-particle":"","family":"Ma","given":"Xiaoling","non-dropping-particle":"","parse-names":false,"suffix":""},{"dropping-particle":"","family":"Liu","given":"Lin","non-dropping-particle":"","parse-names":false,"suffix":""}],"container-title":"BMC medical genomics","id":"ITEM-1","issue":"1","issued":{"date-parts":[["2024","12","1"]]},"publisher":"BMC Med Genomics","title":"Transcriptome-wide N6-methyladenosine modification profiling of long non-coding RNAs in patients with recurrent implantation failure","type":"article-journal","volume":"17"},"uris":["http://www.mendeley.com/documents/?uuid=5b36afaa-fe0a-3245-aad7-7ec8aefe6f78"]}],"mendeley":{"formattedCitation":"(Wang &lt;i&gt;et al.&lt;/i&gt;, 2024)","plainTextFormattedCitation":"(Wang et al., 2024)","previouslyFormattedCitation":"(Wang &lt;i&gt;et al.&lt;/i&gt;, 2024)"},"properties":{"noteIndex":0},"schema":"https://github.com/citation-style-language/schema/raw/master/csl-citation.json"}</w:instrText>
            </w:r>
            <w:r>
              <w:rPr>
                <w:rFonts w:ascii="Times New Roman" w:hAnsi="Times New Roman" w:cs="Times New Roman"/>
                <w:sz w:val="22"/>
                <w:szCs w:val="22"/>
                <w:lang w:val="en-US"/>
              </w:rPr>
              <w:fldChar w:fldCharType="separate"/>
            </w:r>
            <w:r w:rsidRPr="00053100">
              <w:rPr>
                <w:rFonts w:ascii="Times New Roman" w:hAnsi="Times New Roman" w:cs="Times New Roman"/>
                <w:noProof/>
                <w:sz w:val="22"/>
                <w:szCs w:val="22"/>
                <w:lang w:val="en-US"/>
              </w:rPr>
              <w:t xml:space="preserve">(Wang </w:t>
            </w:r>
            <w:r w:rsidRPr="00053100">
              <w:rPr>
                <w:rFonts w:ascii="Times New Roman" w:hAnsi="Times New Roman" w:cs="Times New Roman"/>
                <w:i/>
                <w:noProof/>
                <w:sz w:val="22"/>
                <w:szCs w:val="22"/>
                <w:lang w:val="en-US"/>
              </w:rPr>
              <w:t>et al.</w:t>
            </w:r>
            <w:r w:rsidRPr="00053100">
              <w:rPr>
                <w:rFonts w:ascii="Times New Roman" w:hAnsi="Times New Roman" w:cs="Times New Roman"/>
                <w:noProof/>
                <w:sz w:val="22"/>
                <w:szCs w:val="22"/>
                <w:lang w:val="en-US"/>
              </w:rPr>
              <w:t>, 2024)</w:t>
            </w:r>
            <w:r>
              <w:rPr>
                <w:rFonts w:ascii="Times New Roman" w:hAnsi="Times New Roman" w:cs="Times New Roman"/>
                <w:sz w:val="22"/>
                <w:szCs w:val="22"/>
                <w:lang w:val="en-US"/>
              </w:rPr>
              <w:fldChar w:fldCharType="end"/>
            </w:r>
          </w:p>
        </w:tc>
      </w:tr>
      <w:tr w:rsidR="00B7109B" w:rsidRPr="00053100" w14:paraId="70F37AB0" w14:textId="77777777" w:rsidTr="00B7109B">
        <w:trPr>
          <w:trHeight w:val="238"/>
        </w:trPr>
        <w:tc>
          <w:tcPr>
            <w:tcW w:w="1598" w:type="dxa"/>
            <w:tcBorders>
              <w:left w:val="single" w:sz="4" w:space="0" w:color="000000"/>
              <w:bottom w:val="single" w:sz="4" w:space="0" w:color="000000"/>
            </w:tcBorders>
          </w:tcPr>
          <w:p w14:paraId="0369B52F" w14:textId="77777777" w:rsidR="00B7109B" w:rsidRPr="00053100" w:rsidRDefault="00B7109B" w:rsidP="00B7109B">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GSE207362</w:t>
            </w:r>
          </w:p>
        </w:tc>
        <w:tc>
          <w:tcPr>
            <w:tcW w:w="812" w:type="dxa"/>
            <w:tcBorders>
              <w:left w:val="single" w:sz="4" w:space="0" w:color="000000"/>
              <w:bottom w:val="single" w:sz="4" w:space="0" w:color="000000"/>
            </w:tcBorders>
          </w:tcPr>
          <w:p w14:paraId="09589056"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Bulk</w:t>
            </w:r>
          </w:p>
        </w:tc>
        <w:tc>
          <w:tcPr>
            <w:tcW w:w="992" w:type="dxa"/>
            <w:tcBorders>
              <w:left w:val="single" w:sz="4" w:space="0" w:color="000000"/>
              <w:bottom w:val="single" w:sz="4" w:space="0" w:color="000000"/>
            </w:tcBorders>
          </w:tcPr>
          <w:p w14:paraId="25A5F8ED"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RNA-seq</w:t>
            </w:r>
          </w:p>
        </w:tc>
        <w:tc>
          <w:tcPr>
            <w:tcW w:w="1276" w:type="dxa"/>
            <w:tcBorders>
              <w:left w:val="single" w:sz="4" w:space="0" w:color="000000"/>
              <w:bottom w:val="single" w:sz="4" w:space="0" w:color="000000"/>
            </w:tcBorders>
          </w:tcPr>
          <w:p w14:paraId="6B4B7316" w14:textId="7F7034B1" w:rsidR="00B7109B" w:rsidRPr="00053100" w:rsidRDefault="00B7109B" w:rsidP="00B7109B">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(26), RIF (12)</w:t>
            </w:r>
          </w:p>
        </w:tc>
        <w:tc>
          <w:tcPr>
            <w:tcW w:w="1134" w:type="dxa"/>
            <w:tcBorders>
              <w:left w:val="single" w:sz="4" w:space="0" w:color="000000"/>
              <w:bottom w:val="single" w:sz="4" w:space="0" w:color="000000"/>
              <w:right w:val="single" w:sz="4" w:space="0" w:color="000000"/>
            </w:tcBorders>
          </w:tcPr>
          <w:p w14:paraId="111313A4" w14:textId="12333C8D" w:rsidR="00B7109B" w:rsidRPr="00053100" w:rsidRDefault="00B7109B" w:rsidP="00B7109B">
            <w:pPr>
              <w:pStyle w:val="ad"/>
              <w:spacing w:line="312" w:lineRule="auto"/>
              <w:jc w:val="both"/>
              <w:rPr>
                <w:rFonts w:ascii="Times New Roman" w:hAnsi="Times New Roman" w:cs="Times New Roman"/>
                <w:sz w:val="22"/>
                <w:szCs w:val="22"/>
                <w:lang w:val="en-US"/>
              </w:rPr>
            </w:pPr>
            <w:r w:rsidRPr="00482A5D">
              <w:rPr>
                <w:rFonts w:ascii="Times New Roman" w:hAnsi="Times New Roman" w:cs="Times New Roman"/>
                <w:sz w:val="22"/>
                <w:szCs w:val="22"/>
                <w:lang w:val="en-US"/>
              </w:rPr>
              <w:fldChar w:fldCharType="begin" w:fldLock="1"/>
            </w:r>
            <w:r w:rsidRPr="00482A5D">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sidRPr="00482A5D">
              <w:rPr>
                <w:rFonts w:ascii="Times New Roman" w:hAnsi="Times New Roman" w:cs="Times New Roman"/>
                <w:sz w:val="22"/>
                <w:szCs w:val="22"/>
                <w:lang w:val="en-US"/>
              </w:rPr>
              <w:fldChar w:fldCharType="separate"/>
            </w:r>
            <w:r w:rsidRPr="00482A5D">
              <w:rPr>
                <w:rFonts w:ascii="Times New Roman" w:hAnsi="Times New Roman" w:cs="Times New Roman"/>
                <w:noProof/>
                <w:sz w:val="22"/>
                <w:szCs w:val="22"/>
                <w:lang w:val="en-US"/>
              </w:rPr>
              <w:t xml:space="preserve">(Coughlan </w:t>
            </w:r>
            <w:r w:rsidRPr="00482A5D">
              <w:rPr>
                <w:rFonts w:ascii="Times New Roman" w:hAnsi="Times New Roman" w:cs="Times New Roman"/>
                <w:i/>
                <w:noProof/>
                <w:sz w:val="22"/>
                <w:szCs w:val="22"/>
                <w:lang w:val="en-US"/>
              </w:rPr>
              <w:t>et al.</w:t>
            </w:r>
            <w:r w:rsidRPr="00482A5D">
              <w:rPr>
                <w:rFonts w:ascii="Times New Roman" w:hAnsi="Times New Roman" w:cs="Times New Roman"/>
                <w:noProof/>
                <w:sz w:val="22"/>
                <w:szCs w:val="22"/>
                <w:lang w:val="en-US"/>
              </w:rPr>
              <w:t>, 2014)</w:t>
            </w:r>
            <w:r w:rsidRPr="00482A5D">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488B0EC6" w14:textId="34B14E3C"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Artificial</w:t>
            </w:r>
          </w:p>
        </w:tc>
        <w:tc>
          <w:tcPr>
            <w:tcW w:w="1134" w:type="dxa"/>
            <w:tcBorders>
              <w:left w:val="single" w:sz="4" w:space="0" w:color="000000"/>
              <w:bottom w:val="single" w:sz="4" w:space="0" w:color="000000"/>
            </w:tcBorders>
          </w:tcPr>
          <w:p w14:paraId="19C29E78"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P4 + 7</w:t>
            </w:r>
          </w:p>
        </w:tc>
        <w:tc>
          <w:tcPr>
            <w:tcW w:w="992" w:type="dxa"/>
            <w:tcBorders>
              <w:left w:val="single" w:sz="4" w:space="0" w:color="000000"/>
              <w:bottom w:val="single" w:sz="4" w:space="0" w:color="000000"/>
            </w:tcBorders>
          </w:tcPr>
          <w:p w14:paraId="5A462195"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4F832F9D"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76C675BF" w14:textId="7F7AD7A8" w:rsidR="00B7109B" w:rsidRPr="00053100" w:rsidRDefault="00B7109B" w:rsidP="00B7109B">
            <w:pPr>
              <w:pStyle w:val="ad"/>
              <w:spacing w:line="312" w:lineRule="auto"/>
              <w:jc w:val="both"/>
              <w:rPr>
                <w:rFonts w:ascii="Times New Roman" w:hAnsi="Times New Roman" w:cs="Times New Roman"/>
                <w:sz w:val="22"/>
                <w:szCs w:val="22"/>
                <w:lang w:val="en-US"/>
              </w:rPr>
            </w:pPr>
            <w:r w:rsidRPr="00640723">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34323F17"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Japan</w:t>
            </w:r>
          </w:p>
        </w:tc>
        <w:tc>
          <w:tcPr>
            <w:tcW w:w="2469" w:type="dxa"/>
            <w:tcBorders>
              <w:left w:val="single" w:sz="4" w:space="0" w:color="000000"/>
              <w:bottom w:val="single" w:sz="4" w:space="0" w:color="000000"/>
              <w:right w:val="single" w:sz="4" w:space="0" w:color="000000"/>
            </w:tcBorders>
          </w:tcPr>
          <w:p w14:paraId="06AB33EB" w14:textId="6ADC6560" w:rsidR="00B7109B" w:rsidRPr="00053100" w:rsidRDefault="00B7109B" w:rsidP="00B7109B">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{"citationItems":[{"id":"ITEM-1","itemData":{"DOI":"10.1038/S41419-023-05832-X","ISSN":"2041-4889","PMID":"37198149","abstract":"Infertility occurs in 15% of couples worldwide. Recurrent implantation failure (RIF) is one of the major problems in in vitro fertilization and embryo transfer (IVF–ET) programs, and how to manage patients with RIF to achieve successful pregnancy outcomes remains unresolved. Here, a uterine polycomb repressive complex 2 (PRC2)-regulated gene network was found to control embryo implantation. Our RNA-seq analyses of the human peri-implantation endometrium obtained from patients with RIF and fertile controls revealed that PRC2 components, including its core enzyme enhancer of zeste homolog 2 (EZH2)-catalyzing H3K27 trimethylation (H3K27me3) and their target genes are dysregulated in the RIF group. Although fertility of uterine epithelium-specific knockout mice of Ezh2 (eKO mice) was normal, Ezh2-deleted mice in the uterine epithelium and stroma (uKO mice) exhibited severe subfertility, suggesting that stromal Ezh2 plays a key role in female fertility. The RNA-seq and ChIP-seq analyses revealed that H3K27me3-related dynamic gene silencing is canceled, and the gene expression of cell-cycle regulators is dysregulated in Ezh2-deleted uteri, causing severe epithelial and stromal differentiation defects and failed embryo invasion. Thus, our findings indicate that the EZH2–PRC2–H3K27me3 axis is critical to preparing the endometrium for the blastocyst invasion into the stroma in mice and humans.","author":[{"dropping-particle":"","family":"Fukui","given":"Yamato","non-dropping-particle":"","parse-names":false,"suffix":""},{"dropping-particle":"","family":"Hirota","given":"Yasushi","non-dropping-particle":"","parse-names":false,"suffix":""},{"dropping-particle":"","family":"Aikawa","given":"Shizu","non-dropping-particle":"","parse-names":false,"suffix":""},{"dropping-particle":"","family":"Sakashita","given":"Akihiko","non-dropping-particle":"","parse-names":false,"suffix":""},{"dropping-particle":"","family":"Shimizu-Hirota","given":"Ryoko","non-dropping-particle":"","parse-names":false,"suffix":""},{"dropping-particle":"","family":"Takeda","given":"Norihiko","non-dropping-particle":"","parse-names":false,"suffix":""},{"dropping-particle":"","family":"Ishizawa","given":"Chihiro","non-dropping-particle":"","parse-names":false,"suffix":""},{"dropping-particle":"","family":"Iida","given":"Rei","non-dropping-particle":"","parse-names":false,"suffix":""},{"dropping-particle":"","family":"Kaku","given":"Tetsuaki","non-dropping-particle":"","parse-names":false,"suffix":""},{"dropping-particle":"","family":"Hirata","given":"Tomoyuki","non-dropping-particle":"","parse-names":false,"suffix":""},{"dropping-particle":"","family":"Hiraoka","given":"Takehiro","non-dropping-particle":"","parse-names":false,"suffix":""},{"dropping-particle":"","family":"Akaeda","given":"Shun","non-dropping-particle":"","parse-names":false,"suffix":""},{"dropping-particle":"","family":"Matsuo","given":"Mitsunori","non-dropping-particle":"","parse-names":false,"suffix":""},{"dropping-particle":"","family":"Osuga","given":"Yutaka","non-dropping-particle":"","parse-names":false,"suffix":""}],"container-title":"Cell death &amp; disease","id":"ITEM-1","issue":"5","issued":{"date-parts":[["2023","5","1"]]},"publisher":"Cell Death Dis","title":"The EZH2-PRC2-H3K27me3 axis governs the endometrial cell cycle and differentiation for blastocyst invasion","type":"article-journal","volume":"14"},"uris":["http://www.mendeley.com/documents/?uuid=f2c83997-d5fd-30ef-83c0-0037b6ef6bd8"]}],"mendeley":{"formattedCitation":"(Fukui &lt;i&gt;et al.&lt;/i&gt;, 2023)","plainTextFormattedCitation":"(Fukui et al., 2023)","previouslyFormattedCitation":"(Fukui &lt;i&gt;et al.&lt;/i&gt;, 2023)"},"properties":{"noteIndex":0},"schema":"https://github.com/citation-style-language/schema/raw/master/csl-citation.json"}</w:instrText>
            </w:r>
            <w:r>
              <w:rPr>
                <w:rFonts w:ascii="Times New Roman" w:hAnsi="Times New Roman" w:cs="Times New Roman"/>
                <w:sz w:val="22"/>
                <w:szCs w:val="22"/>
                <w:lang w:val="en-US"/>
              </w:rPr>
              <w:fldChar w:fldCharType="separate"/>
            </w:r>
            <w:r w:rsidRPr="00053100">
              <w:rPr>
                <w:rFonts w:ascii="Times New Roman" w:hAnsi="Times New Roman" w:cs="Times New Roman"/>
                <w:noProof/>
                <w:sz w:val="22"/>
                <w:szCs w:val="22"/>
                <w:lang w:val="en-US"/>
              </w:rPr>
              <w:t xml:space="preserve">(Fukui </w:t>
            </w:r>
            <w:r w:rsidRPr="00053100">
              <w:rPr>
                <w:rFonts w:ascii="Times New Roman" w:hAnsi="Times New Roman" w:cs="Times New Roman"/>
                <w:i/>
                <w:noProof/>
                <w:sz w:val="22"/>
                <w:szCs w:val="22"/>
                <w:lang w:val="en-US"/>
              </w:rPr>
              <w:t>et al.</w:t>
            </w:r>
            <w:r w:rsidRPr="00053100">
              <w:rPr>
                <w:rFonts w:ascii="Times New Roman" w:hAnsi="Times New Roman" w:cs="Times New Roman"/>
                <w:noProof/>
                <w:sz w:val="22"/>
                <w:szCs w:val="22"/>
                <w:lang w:val="en-US"/>
              </w:rPr>
              <w:t>, 2023)</w:t>
            </w:r>
            <w:r>
              <w:rPr>
                <w:rFonts w:ascii="Times New Roman" w:hAnsi="Times New Roman" w:cs="Times New Roman"/>
                <w:sz w:val="22"/>
                <w:szCs w:val="22"/>
                <w:lang w:val="en-US"/>
              </w:rPr>
              <w:fldChar w:fldCharType="end"/>
            </w:r>
          </w:p>
        </w:tc>
      </w:tr>
      <w:tr w:rsidR="00B7109B" w:rsidRPr="00053100" w14:paraId="54C5BC72" w14:textId="77777777" w:rsidTr="00B7109B">
        <w:trPr>
          <w:trHeight w:val="250"/>
        </w:trPr>
        <w:tc>
          <w:tcPr>
            <w:tcW w:w="1598" w:type="dxa"/>
            <w:tcBorders>
              <w:left w:val="single" w:sz="4" w:space="0" w:color="000000"/>
              <w:bottom w:val="single" w:sz="4" w:space="0" w:color="000000"/>
            </w:tcBorders>
          </w:tcPr>
          <w:p w14:paraId="47B6943E" w14:textId="77777777" w:rsidR="00B7109B" w:rsidRPr="00053100" w:rsidRDefault="00B7109B" w:rsidP="00B7109B">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lastRenderedPageBreak/>
              <w:t>GSE243550</w:t>
            </w:r>
          </w:p>
        </w:tc>
        <w:tc>
          <w:tcPr>
            <w:tcW w:w="812" w:type="dxa"/>
            <w:tcBorders>
              <w:left w:val="single" w:sz="4" w:space="0" w:color="000000"/>
              <w:bottom w:val="single" w:sz="4" w:space="0" w:color="000000"/>
            </w:tcBorders>
          </w:tcPr>
          <w:p w14:paraId="4261F45A"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Bulk</w:t>
            </w:r>
          </w:p>
        </w:tc>
        <w:tc>
          <w:tcPr>
            <w:tcW w:w="992" w:type="dxa"/>
            <w:tcBorders>
              <w:left w:val="single" w:sz="4" w:space="0" w:color="000000"/>
              <w:bottom w:val="single" w:sz="4" w:space="0" w:color="000000"/>
            </w:tcBorders>
          </w:tcPr>
          <w:p w14:paraId="42E7F4C4"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RNA-seq</w:t>
            </w:r>
          </w:p>
        </w:tc>
        <w:tc>
          <w:tcPr>
            <w:tcW w:w="1276" w:type="dxa"/>
            <w:tcBorders>
              <w:left w:val="single" w:sz="4" w:space="0" w:color="000000"/>
              <w:bottom w:val="single" w:sz="4" w:space="0" w:color="000000"/>
            </w:tcBorders>
          </w:tcPr>
          <w:p w14:paraId="57A5D566" w14:textId="0866A268" w:rsidR="00B7109B" w:rsidRPr="00053100" w:rsidRDefault="00B7109B" w:rsidP="00B7109B">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(20), RIF (20)</w:t>
            </w:r>
          </w:p>
        </w:tc>
        <w:tc>
          <w:tcPr>
            <w:tcW w:w="1134" w:type="dxa"/>
            <w:tcBorders>
              <w:left w:val="single" w:sz="4" w:space="0" w:color="000000"/>
              <w:bottom w:val="single" w:sz="4" w:space="0" w:color="000000"/>
              <w:right w:val="single" w:sz="4" w:space="0" w:color="000000"/>
            </w:tcBorders>
          </w:tcPr>
          <w:p w14:paraId="28C030CC" w14:textId="604FA397" w:rsidR="00B7109B" w:rsidRPr="00053100" w:rsidRDefault="00B7109B" w:rsidP="00B7109B">
            <w:pPr>
              <w:pStyle w:val="ad"/>
              <w:spacing w:line="312" w:lineRule="auto"/>
              <w:jc w:val="both"/>
              <w:rPr>
                <w:rFonts w:ascii="Times New Roman" w:hAnsi="Times New Roman" w:cs="Times New Roman"/>
                <w:sz w:val="22"/>
                <w:szCs w:val="22"/>
                <w:lang w:val="en-US"/>
              </w:rPr>
            </w:pPr>
            <w:r w:rsidRPr="00482A5D">
              <w:rPr>
                <w:rFonts w:ascii="Times New Roman" w:hAnsi="Times New Roman" w:cs="Times New Roman"/>
                <w:sz w:val="22"/>
                <w:szCs w:val="22"/>
                <w:lang w:val="en-US"/>
              </w:rPr>
              <w:fldChar w:fldCharType="begin" w:fldLock="1"/>
            </w:r>
            <w:r w:rsidRPr="00482A5D">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sidRPr="00482A5D">
              <w:rPr>
                <w:rFonts w:ascii="Times New Roman" w:hAnsi="Times New Roman" w:cs="Times New Roman"/>
                <w:sz w:val="22"/>
                <w:szCs w:val="22"/>
                <w:lang w:val="en-US"/>
              </w:rPr>
              <w:fldChar w:fldCharType="separate"/>
            </w:r>
            <w:r w:rsidRPr="00482A5D">
              <w:rPr>
                <w:rFonts w:ascii="Times New Roman" w:hAnsi="Times New Roman" w:cs="Times New Roman"/>
                <w:noProof/>
                <w:sz w:val="22"/>
                <w:szCs w:val="22"/>
                <w:lang w:val="en-US"/>
              </w:rPr>
              <w:t xml:space="preserve">(Coughlan </w:t>
            </w:r>
            <w:r w:rsidRPr="00482A5D">
              <w:rPr>
                <w:rFonts w:ascii="Times New Roman" w:hAnsi="Times New Roman" w:cs="Times New Roman"/>
                <w:i/>
                <w:noProof/>
                <w:sz w:val="22"/>
                <w:szCs w:val="22"/>
                <w:lang w:val="en-US"/>
              </w:rPr>
              <w:t>et al.</w:t>
            </w:r>
            <w:r w:rsidRPr="00482A5D">
              <w:rPr>
                <w:rFonts w:ascii="Times New Roman" w:hAnsi="Times New Roman" w:cs="Times New Roman"/>
                <w:noProof/>
                <w:sz w:val="22"/>
                <w:szCs w:val="22"/>
                <w:lang w:val="en-US"/>
              </w:rPr>
              <w:t>, 2014)</w:t>
            </w:r>
            <w:r w:rsidRPr="00482A5D">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0FF88DDD" w14:textId="23E524C4"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Artificial</w:t>
            </w:r>
          </w:p>
        </w:tc>
        <w:tc>
          <w:tcPr>
            <w:tcW w:w="1134" w:type="dxa"/>
            <w:tcBorders>
              <w:left w:val="single" w:sz="4" w:space="0" w:color="000000"/>
              <w:bottom w:val="single" w:sz="4" w:space="0" w:color="000000"/>
            </w:tcBorders>
          </w:tcPr>
          <w:p w14:paraId="4D6708AA"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P4 + 5</w:t>
            </w:r>
          </w:p>
        </w:tc>
        <w:tc>
          <w:tcPr>
            <w:tcW w:w="992" w:type="dxa"/>
            <w:tcBorders>
              <w:left w:val="single" w:sz="4" w:space="0" w:color="000000"/>
              <w:bottom w:val="single" w:sz="4" w:space="0" w:color="000000"/>
            </w:tcBorders>
          </w:tcPr>
          <w:p w14:paraId="04C43023"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7577620A"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7FF903BA"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w:t>
            </w:r>
          </w:p>
        </w:tc>
        <w:tc>
          <w:tcPr>
            <w:tcW w:w="850" w:type="dxa"/>
            <w:tcBorders>
              <w:left w:val="single" w:sz="4" w:space="0" w:color="000000"/>
              <w:bottom w:val="single" w:sz="4" w:space="0" w:color="000000"/>
            </w:tcBorders>
          </w:tcPr>
          <w:p w14:paraId="1A02CE3B" w14:textId="77777777" w:rsidR="00B7109B" w:rsidRPr="00053100" w:rsidRDefault="00B7109B" w:rsidP="00B7109B">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China</w:t>
            </w:r>
          </w:p>
        </w:tc>
        <w:tc>
          <w:tcPr>
            <w:tcW w:w="2469" w:type="dxa"/>
            <w:tcBorders>
              <w:left w:val="single" w:sz="4" w:space="0" w:color="000000"/>
              <w:bottom w:val="single" w:sz="4" w:space="0" w:color="000000"/>
              <w:right w:val="single" w:sz="4" w:space="0" w:color="000000"/>
            </w:tcBorders>
          </w:tcPr>
          <w:p w14:paraId="78AE60D5" w14:textId="0AAC103F" w:rsidR="00B7109B" w:rsidRPr="0051573A" w:rsidRDefault="00B7109B" w:rsidP="00B7109B">
            <w:pPr>
              <w:pStyle w:val="ad"/>
              <w:spacing w:line="312" w:lineRule="auto"/>
              <w:jc w:val="both"/>
              <w:rPr>
                <w:rFonts w:ascii="Times New Roman" w:hAnsi="Times New Roman" w:cs="Times New Roman"/>
                <w:sz w:val="22"/>
                <w:szCs w:val="22"/>
                <w:lang w:val="en-US"/>
              </w:rPr>
            </w:pPr>
            <w:r w:rsidRPr="0051573A">
              <w:rPr>
                <w:rFonts w:ascii="Times New Roman" w:hAnsi="Times New Roman" w:cs="Times New Roman"/>
                <w:sz w:val="22"/>
                <w:szCs w:val="22"/>
                <w:lang w:val="en-US"/>
              </w:rPr>
              <w:t>NA</w:t>
            </w:r>
          </w:p>
        </w:tc>
      </w:tr>
      <w:tr w:rsidR="00053100" w:rsidRPr="00053100" w14:paraId="1F0C7B0A" w14:textId="77777777" w:rsidTr="00B7109B">
        <w:trPr>
          <w:trHeight w:val="238"/>
        </w:trPr>
        <w:tc>
          <w:tcPr>
            <w:tcW w:w="1598" w:type="dxa"/>
            <w:tcBorders>
              <w:left w:val="single" w:sz="4" w:space="0" w:color="000000"/>
              <w:bottom w:val="single" w:sz="4" w:space="0" w:color="000000"/>
            </w:tcBorders>
          </w:tcPr>
          <w:p w14:paraId="40DB3F00"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GSE250130</w:t>
            </w:r>
          </w:p>
        </w:tc>
        <w:tc>
          <w:tcPr>
            <w:tcW w:w="812" w:type="dxa"/>
            <w:tcBorders>
              <w:left w:val="single" w:sz="4" w:space="0" w:color="000000"/>
              <w:bottom w:val="single" w:sz="4" w:space="0" w:color="000000"/>
            </w:tcBorders>
          </w:tcPr>
          <w:p w14:paraId="360CB7D2"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Single cells</w:t>
            </w:r>
          </w:p>
        </w:tc>
        <w:tc>
          <w:tcPr>
            <w:tcW w:w="992" w:type="dxa"/>
            <w:tcBorders>
              <w:left w:val="single" w:sz="4" w:space="0" w:color="000000"/>
              <w:bottom w:val="single" w:sz="4" w:space="0" w:color="000000"/>
            </w:tcBorders>
          </w:tcPr>
          <w:p w14:paraId="20F4BE72"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RNA-seq</w:t>
            </w:r>
          </w:p>
        </w:tc>
        <w:tc>
          <w:tcPr>
            <w:tcW w:w="1276" w:type="dxa"/>
            <w:tcBorders>
              <w:left w:val="single" w:sz="4" w:space="0" w:color="000000"/>
              <w:bottom w:val="single" w:sz="4" w:space="0" w:color="000000"/>
            </w:tcBorders>
          </w:tcPr>
          <w:p w14:paraId="683AD602" w14:textId="63768BBE" w:rsidR="00053100" w:rsidRPr="00053100" w:rsidRDefault="00053100"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(18), RIF (10)</w:t>
            </w:r>
          </w:p>
        </w:tc>
        <w:tc>
          <w:tcPr>
            <w:tcW w:w="1134" w:type="dxa"/>
            <w:tcBorders>
              <w:left w:val="single" w:sz="4" w:space="0" w:color="000000"/>
              <w:bottom w:val="single" w:sz="4" w:space="0" w:color="000000"/>
              <w:right w:val="single" w:sz="4" w:space="0" w:color="000000"/>
            </w:tcBorders>
          </w:tcPr>
          <w:p w14:paraId="1A3538BC" w14:textId="4C051364" w:rsidR="00053100" w:rsidRPr="00053100" w:rsidRDefault="00B7109B"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(Coughlan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2014)</w:t>
            </w:r>
            <w:r>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3430E637" w14:textId="701CC16C"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Natural</w:t>
            </w:r>
          </w:p>
        </w:tc>
        <w:tc>
          <w:tcPr>
            <w:tcW w:w="1134" w:type="dxa"/>
            <w:tcBorders>
              <w:left w:val="single" w:sz="4" w:space="0" w:color="000000"/>
              <w:bottom w:val="single" w:sz="4" w:space="0" w:color="000000"/>
            </w:tcBorders>
          </w:tcPr>
          <w:p w14:paraId="52FC9D80" w14:textId="4BB52DD9"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LH + 7</w:t>
            </w:r>
          </w:p>
        </w:tc>
        <w:tc>
          <w:tcPr>
            <w:tcW w:w="992" w:type="dxa"/>
            <w:tcBorders>
              <w:left w:val="single" w:sz="4" w:space="0" w:color="000000"/>
              <w:bottom w:val="single" w:sz="4" w:space="0" w:color="000000"/>
            </w:tcBorders>
          </w:tcPr>
          <w:p w14:paraId="40332951" w14:textId="6F294002"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05C4DEE6"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6CA7C231" w14:textId="6C33A9E1" w:rsidR="00053100" w:rsidRPr="00053100" w:rsidRDefault="00053100" w:rsidP="00053100">
            <w:pPr>
              <w:pStyle w:val="ad"/>
              <w:spacing w:line="312" w:lineRule="auto"/>
              <w:jc w:val="both"/>
              <w:rPr>
                <w:rFonts w:ascii="Times New Roman" w:hAnsi="Times New Roman" w:cs="Times New Roman"/>
                <w:sz w:val="22"/>
                <w:szCs w:val="22"/>
                <w:lang w:val="en-US"/>
              </w:rPr>
            </w:pPr>
            <w:r w:rsidRPr="004E0926">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5D6CADCD" w14:textId="6368DC6F"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China</w:t>
            </w:r>
          </w:p>
        </w:tc>
        <w:tc>
          <w:tcPr>
            <w:tcW w:w="2469" w:type="dxa"/>
            <w:tcBorders>
              <w:left w:val="single" w:sz="4" w:space="0" w:color="000000"/>
              <w:bottom w:val="single" w:sz="4" w:space="0" w:color="000000"/>
              <w:right w:val="single" w:sz="4" w:space="0" w:color="000000"/>
            </w:tcBorders>
          </w:tcPr>
          <w:p w14:paraId="2D5488AF" w14:textId="48936EBC" w:rsidR="00053100" w:rsidRPr="00053100" w:rsidRDefault="00053100"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{"citationItems":[{"id":"ITEM-1","itemData":{"DOI":"10.1038/s41467-024-55419-z","ISSN":"2041-1723","abstract":"Understanding human endometrial dynamics in the establishment of endometrial receptivity remains a challenge, which limits early diagnosis and treatment of endometrial-factor infertility. Here, we decode the endometrial dynamics of fertile women across the window of implantation and characterize the endometrial deficiency in women with recurrent implantation failure. A computational model capable of both temporal prediction and pattern discovery is used to analyze single-cell transcriptomic data from over 220,000 endometrial cells. The time-series atlas highlights a two-stage stromal decidualization process and a gradual transitional process of the luminal epithelial cells across the window of implantation. In addition, a time-varying gene set regulating epithelium receptivity is identified, based on which the recurrent implantation failure endometria are stratified into two classes of deficiencies. Further investigation uncovers a hyper-inflammatory microenvironment for the dysfunctional endometrial epithelial cells of recurrent implantation failure. The holistic characterization of the physiological and pathophysiological window of implantation and a computational tool trained on this temporal atlas provide a platform for future therapeutic developments. Time-series single-cell transcriptomic characterization of luteal-phase endometrium in fertile women with a variational autoencoder model uncovers the association of decreased epithelial receptivity and hyperinflammatory microenvironment in recurrent implantation failures.","author":[{"dropping-particle":"","family":"Cao","given":"Dandan","non-dropping-particle":"","parse-names":false,"suffix":""},{"dropping-particle":"","family":"Liu","given":"Yijun","non-dropping-particle":"","parse-names":false,"suffix":""},{"dropping-particle":"","family":"Cheng","given":"Yanfei","non-dropping-particle":"","parse-names":false,"suffix":""},{"dropping-particle":"","family":"Wang","given":"Jue","non-dropping-particle":"","parse-names":false,"suffix":""},{"dropping-particle":"","family":"Zhang","given":"Bolun","non-dropping-particle":"","parse-names":false,"suffix":""},{"dropping-particle":"","family":"Zhai","given":"Yanhui","non-dropping-particle":"","parse-names":false,"suffix":""},{"dropping-particle":"","family":"Zhu","given":"Kongfu","non-dropping-particle":"","parse-names":false,"suffix":""},{"dropping-particle":"","family":"Liu","given":"Ye","non-dropping-particle":"","parse-names":false,"suffix":""},{"dropping-particle":"","family":"Shang","given":"Ye","non-dropping-particle":"","parse-names":false,"suffix":""},{"dropping-particle":"","family":"Xiao","given":"Xiao","non-dropping-particle":"","parse-names":false,"suffix":""},{"dropping-particle":"","family":"Chang","given":"Yi","non-dropping-particle":"","parse-names":false,"suffix":""},{"dropping-particle":"","family":"Lee","given":"Yin Lau","non-dropping-particle":"","parse-names":false,"suffix":""},{"dropping-particle":"","family":"Shu","given":"William","non-dropping-particle":"","parse-names":false,"suffix":""},{"dropping-particle":"","family":"Yeung","given":"Biu","non-dropping-particle":"","parse-names":false,"suffix":""},{"dropping-particle":"","family":"Huang","given":"Yuanhua","non-dropping-particle":"","parse-names":false,"suffix":""},{"dropping-particle":"","family":"Yao","given":"Yuanqing","non-dropping-particle":"","parse-names":false,"suffix":""}],"container-title":"Nature Communications 2024 16:1","id":"ITEM-1","issue":"1","issued":{"date-parts":[["2025","1","2"]]},"page":"137-","publisher":"Nature Publishing Group","title":"Time-series single-cell transcriptomic profiling of luteal-phase endometrium uncovers dynamic characteristics and its dysregulation in recurrent implantation failures","type":"article-journal","volume":"16"},"uris":["http://www.mendeley.com/documents/?uuid=3f4c7612-7d6d-3394-bb6e-133ed4043930"]}],"mendeley":{"formattedCitation":"(Cao &lt;i&gt;et al.&lt;/i&gt;, 2025)","plainTextFormattedCitation":"(Cao et al., 2025)","previouslyFormattedCitation":"(Cao &lt;i&gt;et al.&lt;/i&gt;, 2025)"},"properties":{"noteIndex":0},"schema":"https://github.com/citation-style-language/schema/raw/master/csl-citation.json"}</w:instrText>
            </w:r>
            <w:r>
              <w:rPr>
                <w:rFonts w:ascii="Times New Roman" w:hAnsi="Times New Roman" w:cs="Times New Roman"/>
                <w:sz w:val="22"/>
                <w:szCs w:val="22"/>
                <w:lang w:val="en-US"/>
              </w:rPr>
              <w:fldChar w:fldCharType="separate"/>
            </w:r>
            <w:r w:rsidRPr="00053100">
              <w:rPr>
                <w:rFonts w:ascii="Times New Roman" w:hAnsi="Times New Roman" w:cs="Times New Roman"/>
                <w:noProof/>
                <w:sz w:val="22"/>
                <w:szCs w:val="22"/>
                <w:lang w:val="en-US"/>
              </w:rPr>
              <w:t xml:space="preserve">(Cao </w:t>
            </w:r>
            <w:r w:rsidRPr="00053100">
              <w:rPr>
                <w:rFonts w:ascii="Times New Roman" w:hAnsi="Times New Roman" w:cs="Times New Roman"/>
                <w:i/>
                <w:noProof/>
                <w:sz w:val="22"/>
                <w:szCs w:val="22"/>
                <w:lang w:val="en-US"/>
              </w:rPr>
              <w:t>et al.</w:t>
            </w:r>
            <w:r w:rsidRPr="00053100">
              <w:rPr>
                <w:rFonts w:ascii="Times New Roman" w:hAnsi="Times New Roman" w:cs="Times New Roman"/>
                <w:noProof/>
                <w:sz w:val="22"/>
                <w:szCs w:val="22"/>
                <w:lang w:val="en-US"/>
              </w:rPr>
              <w:t>, 2025)</w:t>
            </w:r>
            <w:r>
              <w:rPr>
                <w:rFonts w:ascii="Times New Roman" w:hAnsi="Times New Roman" w:cs="Times New Roman"/>
                <w:sz w:val="22"/>
                <w:szCs w:val="22"/>
                <w:lang w:val="en-US"/>
              </w:rPr>
              <w:fldChar w:fldCharType="end"/>
            </w:r>
          </w:p>
        </w:tc>
      </w:tr>
      <w:tr w:rsidR="00053100" w:rsidRPr="00053100" w14:paraId="69D84068" w14:textId="77777777" w:rsidTr="00B7109B">
        <w:trPr>
          <w:trHeight w:val="238"/>
        </w:trPr>
        <w:tc>
          <w:tcPr>
            <w:tcW w:w="1598" w:type="dxa"/>
            <w:tcBorders>
              <w:left w:val="single" w:sz="4" w:space="0" w:color="000000"/>
              <w:bottom w:val="single" w:sz="4" w:space="0" w:color="000000"/>
            </w:tcBorders>
          </w:tcPr>
          <w:p w14:paraId="3CD903D4" w14:textId="77777777" w:rsidR="00053100" w:rsidRPr="00053100" w:rsidRDefault="00053100" w:rsidP="00053100">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GSE26787</w:t>
            </w:r>
          </w:p>
        </w:tc>
        <w:tc>
          <w:tcPr>
            <w:tcW w:w="812" w:type="dxa"/>
            <w:tcBorders>
              <w:left w:val="single" w:sz="4" w:space="0" w:color="000000"/>
              <w:bottom w:val="single" w:sz="4" w:space="0" w:color="000000"/>
            </w:tcBorders>
          </w:tcPr>
          <w:p w14:paraId="6C74A3A5"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Bulk</w:t>
            </w:r>
          </w:p>
        </w:tc>
        <w:tc>
          <w:tcPr>
            <w:tcW w:w="992" w:type="dxa"/>
            <w:tcBorders>
              <w:left w:val="single" w:sz="4" w:space="0" w:color="000000"/>
              <w:bottom w:val="single" w:sz="4" w:space="0" w:color="000000"/>
            </w:tcBorders>
          </w:tcPr>
          <w:p w14:paraId="51B6E3A8"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Array</w:t>
            </w:r>
          </w:p>
        </w:tc>
        <w:tc>
          <w:tcPr>
            <w:tcW w:w="1276" w:type="dxa"/>
            <w:tcBorders>
              <w:left w:val="single" w:sz="4" w:space="0" w:color="000000"/>
              <w:bottom w:val="single" w:sz="4" w:space="0" w:color="000000"/>
            </w:tcBorders>
          </w:tcPr>
          <w:p w14:paraId="70488177" w14:textId="6E6AAD4E" w:rsidR="00053100" w:rsidRPr="00053100" w:rsidRDefault="00053100"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(5), RIF (5)</w:t>
            </w:r>
          </w:p>
        </w:tc>
        <w:tc>
          <w:tcPr>
            <w:tcW w:w="1134" w:type="dxa"/>
            <w:tcBorders>
              <w:left w:val="single" w:sz="4" w:space="0" w:color="000000"/>
              <w:bottom w:val="single" w:sz="4" w:space="0" w:color="000000"/>
              <w:right w:val="single" w:sz="4" w:space="0" w:color="000000"/>
            </w:tcBorders>
          </w:tcPr>
          <w:p w14:paraId="30557791" w14:textId="6F5BFE96" w:rsidR="00053100" w:rsidRPr="00053100" w:rsidRDefault="00B7109B"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(Coughlan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2014)</w:t>
            </w:r>
            <w:r>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289B9F7A" w14:textId="06CE3860"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Natural</w:t>
            </w:r>
          </w:p>
        </w:tc>
        <w:tc>
          <w:tcPr>
            <w:tcW w:w="1134" w:type="dxa"/>
            <w:tcBorders>
              <w:left w:val="single" w:sz="4" w:space="0" w:color="000000"/>
              <w:bottom w:val="single" w:sz="4" w:space="0" w:color="000000"/>
            </w:tcBorders>
          </w:tcPr>
          <w:p w14:paraId="7541DEDD" w14:textId="44233B3D"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LH + 7</w:t>
            </w:r>
          </w:p>
        </w:tc>
        <w:tc>
          <w:tcPr>
            <w:tcW w:w="992" w:type="dxa"/>
            <w:tcBorders>
              <w:left w:val="single" w:sz="4" w:space="0" w:color="000000"/>
              <w:bottom w:val="single" w:sz="4" w:space="0" w:color="000000"/>
            </w:tcBorders>
          </w:tcPr>
          <w:p w14:paraId="7B0FB26D" w14:textId="16A47B3D"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243D0067"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53452C2F" w14:textId="17918A48" w:rsidR="00053100" w:rsidRPr="00053100" w:rsidRDefault="00053100" w:rsidP="00053100">
            <w:pPr>
              <w:pStyle w:val="ad"/>
              <w:spacing w:line="312" w:lineRule="auto"/>
              <w:jc w:val="both"/>
              <w:rPr>
                <w:rFonts w:ascii="Times New Roman" w:hAnsi="Times New Roman" w:cs="Times New Roman"/>
                <w:sz w:val="22"/>
                <w:szCs w:val="22"/>
                <w:lang w:val="en-US"/>
              </w:rPr>
            </w:pPr>
            <w:r w:rsidRPr="004E0926">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2DD64E1E" w14:textId="39782793"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France</w:t>
            </w:r>
          </w:p>
        </w:tc>
        <w:tc>
          <w:tcPr>
            <w:tcW w:w="2469" w:type="dxa"/>
            <w:tcBorders>
              <w:left w:val="single" w:sz="4" w:space="0" w:color="000000"/>
              <w:bottom w:val="single" w:sz="4" w:space="0" w:color="000000"/>
              <w:right w:val="single" w:sz="4" w:space="0" w:color="000000"/>
            </w:tcBorders>
          </w:tcPr>
          <w:p w14:paraId="117FAB38" w14:textId="0E988636" w:rsidR="00053100" w:rsidRPr="00053100" w:rsidRDefault="00053100"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sidR="00B7109B">
              <w:rPr>
                <w:rFonts w:ascii="Times New Roman" w:hAnsi="Times New Roman" w:cs="Times New Roman"/>
                <w:sz w:val="22"/>
                <w:szCs w:val="22"/>
                <w:lang w:val="en-US"/>
              </w:rPr>
              <w:instrText>ADDIN CSL_CITATION {"citationItems":[{"id":"ITEM-1","itemData":{"DOI":"10.1002/PATH.2948","ISSN":"1096-9896","PMID":"22025212","abstract":"The objective was to examine if IVF/ICSI repeated implantation failures (IF) or recurrent miscarriages (RM) could be related to preconceptional endometrial deregulations. IF was defined as the absence of pregnancy despite the transfer of at least ten IVF/ICSI good quality embryos, and RM as having at least three unexplained miscarriages. Fertile controls (FC) were women who had given birth at least once. Endometrial biopsy was performed in the mild luteal phase of a non-conceptual cycle (five women were selected in each group). Affymetrix chips (GeneChip Human Genome U133 Plus2.0 Array) were used for hybridization. Data were normalized by the gcRMA method, and raw p values adjusted by the Bonferroni procedure (1%). Differential expression of selected genes was analysed using real-time PCR. Gene networks and biological functions were explored using the Ingenuity Pathways Analysis software. Endometrial gene expression profiles at the time of uterine receptivity differ dramatically in the endometrium among FC, RM, and IF patients. Compared to FC, 2126 and 2477 genes are differentially expressed in IF and RM groups, respectively, and 2363 between IF and RM. In both conditions, differential gene expression referred mainly to DNA transcription and expression. Other main cellular functions deregulated in IF conditions correspond to cell morphology, cellular development, cell cycle, and cellular assembly, while in RM conditions, deregulated cellular functions relate to cell signalling (degradation of cyclic AMP and calcium metabolism) and cellular maintenance. In both conditions, there is an over-representation of deregulations related to the haematological system. In the IF condition, cell-mediated immune response and nervous system development and function are highly deregulated, while in RM patients, main deregulations are in organ and tissue development, humoral immune response, and muscular system development and function. Extensive endometrial deregulations are present before conception in patients who experienced IF or RM with both distinct and common deregulation. Copyright © 2011 Pathological Society of Great Britain and Ireland. Published by John Wiley &amp; Sons, Ltd.","author":[{"dropping-particle":"","family":"Lédée","given":"Nathalie","non-dropping-particle":"","parse-names":false,"suffix":""},{"dropping-particle":"","family":"Munaut","given":"Carine","non-dropping-particle":"","parse-names":false,"suffix":""},{"dropping-particle":"","family":"Aubert","given":"Julie","non-dropping-particle":"","parse-names":false,"suffix":""},{"dropping-particle":"","family":"Sérazin","given":"Valérie","non-dropping-particle":"","parse-names":false,"suffix":""},{"dropping-particle":"","family":"Rahmati","given":"Mona","non-dropping-particle":"","parse-names":false,"suffix":""},{"dropping-particle":"","family":"Chaouat","given":"Gérard","non-dropping-particle":"","parse-names":false,"suffix":""},{"dropping-particle":"","family":"Sandra","given":"Olivier","non-dropping-particle":"","parse-names":false,"suffix":""},{"dropping-particle":"","family":"Foidart","given":"Jean Michel","non-dropping-particle":"","parse-names":false,"suffix":""}],"container-title":"The Journal of pathology","id":"ITEM-1","issue":"4","issued":{"date-parts":[["2011"]]},"page":"554-564","publisher":"J Pathol","title":"Specific and extensive endometrial deregulation is present before conception in IVF/ICSI repeated implantation failures (IF) or recurrent miscarriages","type":"article-journal","volume":"225"},"uris":["http://www.mendeley.com/documents/?uuid=cebbb688-ed87-3a59-a210-d993342b74ef"]}],"mendeley":{"formattedCitation":"(Lédée &lt;i&gt;et al.&lt;/i&gt;, 2011)","plainTextFormattedCitation":"(Lédée et al., 2011)","previouslyFormattedCitation":"(Lédée &lt;i&gt;et al.&lt;/i&gt;, 2011)"},"properties":{"noteIndex":0},"schema":"https://github.com/citation-style-language/schema/raw/master/csl-citation.json"}</w:instrText>
            </w:r>
            <w:r>
              <w:rPr>
                <w:rFonts w:ascii="Times New Roman" w:hAnsi="Times New Roman" w:cs="Times New Roman"/>
                <w:sz w:val="22"/>
                <w:szCs w:val="22"/>
                <w:lang w:val="en-US"/>
              </w:rPr>
              <w:fldChar w:fldCharType="separate"/>
            </w:r>
            <w:r w:rsidRPr="00053100">
              <w:rPr>
                <w:rFonts w:ascii="Times New Roman" w:hAnsi="Times New Roman" w:cs="Times New Roman"/>
                <w:noProof/>
                <w:sz w:val="22"/>
                <w:szCs w:val="22"/>
                <w:lang w:val="en-US"/>
              </w:rPr>
              <w:t xml:space="preserve">(Lédée </w:t>
            </w:r>
            <w:r w:rsidRPr="00053100">
              <w:rPr>
                <w:rFonts w:ascii="Times New Roman" w:hAnsi="Times New Roman" w:cs="Times New Roman"/>
                <w:i/>
                <w:noProof/>
                <w:sz w:val="22"/>
                <w:szCs w:val="22"/>
                <w:lang w:val="en-US"/>
              </w:rPr>
              <w:t>et al.</w:t>
            </w:r>
            <w:r w:rsidRPr="00053100">
              <w:rPr>
                <w:rFonts w:ascii="Times New Roman" w:hAnsi="Times New Roman" w:cs="Times New Roman"/>
                <w:noProof/>
                <w:sz w:val="22"/>
                <w:szCs w:val="22"/>
                <w:lang w:val="en-US"/>
              </w:rPr>
              <w:t>, 2011)</w:t>
            </w:r>
            <w:r>
              <w:rPr>
                <w:rFonts w:ascii="Times New Roman" w:hAnsi="Times New Roman" w:cs="Times New Roman"/>
                <w:sz w:val="22"/>
                <w:szCs w:val="22"/>
                <w:lang w:val="en-US"/>
              </w:rPr>
              <w:fldChar w:fldCharType="end"/>
            </w:r>
          </w:p>
        </w:tc>
      </w:tr>
      <w:tr w:rsidR="00053100" w:rsidRPr="00053100" w14:paraId="745CB39D" w14:textId="77777777" w:rsidTr="00B7109B">
        <w:trPr>
          <w:trHeight w:val="238"/>
        </w:trPr>
        <w:tc>
          <w:tcPr>
            <w:tcW w:w="1598" w:type="dxa"/>
            <w:tcBorders>
              <w:left w:val="single" w:sz="4" w:space="0" w:color="000000"/>
              <w:bottom w:val="single" w:sz="4" w:space="0" w:color="000000"/>
            </w:tcBorders>
          </w:tcPr>
          <w:p w14:paraId="282BD769" w14:textId="77777777" w:rsidR="00053100" w:rsidRPr="00053100" w:rsidRDefault="00053100" w:rsidP="00053100">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GSE58144</w:t>
            </w:r>
          </w:p>
        </w:tc>
        <w:tc>
          <w:tcPr>
            <w:tcW w:w="812" w:type="dxa"/>
            <w:tcBorders>
              <w:left w:val="single" w:sz="4" w:space="0" w:color="000000"/>
              <w:bottom w:val="single" w:sz="4" w:space="0" w:color="000000"/>
            </w:tcBorders>
          </w:tcPr>
          <w:p w14:paraId="34F393C3"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Bulk</w:t>
            </w:r>
          </w:p>
        </w:tc>
        <w:tc>
          <w:tcPr>
            <w:tcW w:w="992" w:type="dxa"/>
            <w:tcBorders>
              <w:left w:val="single" w:sz="4" w:space="0" w:color="000000"/>
              <w:bottom w:val="single" w:sz="4" w:space="0" w:color="000000"/>
            </w:tcBorders>
          </w:tcPr>
          <w:p w14:paraId="7F7877A7"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Array</w:t>
            </w:r>
          </w:p>
        </w:tc>
        <w:tc>
          <w:tcPr>
            <w:tcW w:w="1276" w:type="dxa"/>
            <w:tcBorders>
              <w:left w:val="single" w:sz="4" w:space="0" w:color="000000"/>
              <w:bottom w:val="single" w:sz="4" w:space="0" w:color="000000"/>
            </w:tcBorders>
          </w:tcPr>
          <w:p w14:paraId="4B933D60" w14:textId="23A5E59A" w:rsidR="00053100" w:rsidRPr="00053100" w:rsidRDefault="00053100"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(72), RIF (43)</w:t>
            </w:r>
          </w:p>
        </w:tc>
        <w:tc>
          <w:tcPr>
            <w:tcW w:w="1134" w:type="dxa"/>
            <w:tcBorders>
              <w:left w:val="single" w:sz="4" w:space="0" w:color="000000"/>
              <w:bottom w:val="single" w:sz="4" w:space="0" w:color="000000"/>
              <w:right w:val="single" w:sz="4" w:space="0" w:color="000000"/>
            </w:tcBorders>
          </w:tcPr>
          <w:p w14:paraId="6E5B8416" w14:textId="2A4C73EC" w:rsidR="00053100" w:rsidRPr="00053100" w:rsidRDefault="00B7109B"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(Coughlan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2014)</w:t>
            </w:r>
            <w:r>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6AA66184" w14:textId="59D8D475"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Natural</w:t>
            </w:r>
          </w:p>
        </w:tc>
        <w:tc>
          <w:tcPr>
            <w:tcW w:w="1134" w:type="dxa"/>
            <w:tcBorders>
              <w:left w:val="single" w:sz="4" w:space="0" w:color="000000"/>
              <w:bottom w:val="single" w:sz="4" w:space="0" w:color="000000"/>
            </w:tcBorders>
          </w:tcPr>
          <w:p w14:paraId="0BF7F666" w14:textId="7CC1497F"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MS</w:t>
            </w:r>
          </w:p>
        </w:tc>
        <w:tc>
          <w:tcPr>
            <w:tcW w:w="992" w:type="dxa"/>
            <w:tcBorders>
              <w:left w:val="single" w:sz="4" w:space="0" w:color="000000"/>
              <w:bottom w:val="single" w:sz="4" w:space="0" w:color="000000"/>
            </w:tcBorders>
          </w:tcPr>
          <w:p w14:paraId="42B45AAE" w14:textId="24BDEB5B"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1C07A4D2"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6C4ADD6F" w14:textId="5D98CB06" w:rsidR="00053100" w:rsidRPr="00053100" w:rsidRDefault="00053100" w:rsidP="00053100">
            <w:pPr>
              <w:pStyle w:val="ad"/>
              <w:spacing w:line="312" w:lineRule="auto"/>
              <w:jc w:val="both"/>
              <w:rPr>
                <w:rFonts w:ascii="Times New Roman" w:hAnsi="Times New Roman" w:cs="Times New Roman"/>
                <w:sz w:val="22"/>
                <w:szCs w:val="22"/>
                <w:lang w:val="en-US"/>
              </w:rPr>
            </w:pPr>
            <w:r w:rsidRPr="004E0926">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08409E9F" w14:textId="267F4435"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Netherlands</w:t>
            </w:r>
          </w:p>
        </w:tc>
        <w:tc>
          <w:tcPr>
            <w:tcW w:w="2469" w:type="dxa"/>
            <w:tcBorders>
              <w:left w:val="single" w:sz="4" w:space="0" w:color="000000"/>
              <w:bottom w:val="single" w:sz="4" w:space="0" w:color="000000"/>
              <w:right w:val="single" w:sz="4" w:space="0" w:color="000000"/>
            </w:tcBorders>
          </w:tcPr>
          <w:p w14:paraId="3211EA77" w14:textId="0E538D59" w:rsidR="00053100" w:rsidRPr="00053100" w:rsidRDefault="00B7109B"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{"citationItems":[{"id":"ITEM-1","itemData":{"DOI":"10.1038/SREP19411","ISSN":"2045-2322","PMID":"26797113","abstract":"The primary limiting factor for effective IVF treatment is successful embryo implantation. Recurrent implantation failure (RIF) is a condition whereby couples fail to achieve pregnancy despite consecutive embryo transfers. Here we describe the collection of gene expression profiles from mid-luteal phase endometrial biopsies (n = 115) from women experiencing RIF and healthy controls. Using a signature discovery set (n = 81) we identify a signature containing 303 genes predictive of RIF. Independent validation in 34 samples shows that the gene signature predicts RIF with 100% positive predictive value (PPV). The strength of the RIF associated expression signature also stratifies RIF patients into distinct groups with different subsequent implantation success rates. Exploration of the expression changes suggests that RIF is primarily associated with reduced cellular proliferation. The gene signature will be of value in counselling and guiding further treatment of women who fail to conceive upon IVF and suggests new avenues for developing intervention.","author":[{"dropping-particle":"","family":"Koot","given":"Yvonne E.M.","non-dropping-particle":"","parse-names":false,"suffix":""},{"dropping-particle":"","family":"Hooff","given":"Sander R.","non-dropping-particle":"Van","parse-names":false,"suffix":""},{"dropping-particle":"","family":"Boomsma","given":"Carolien M.","non-dropping-particle":"","parse-names":false,"suffix":""},{"dropping-particle":"","family":"Leenen","given":"Dik","non-dropping-particle":"Van","parse-names":false,"suffix":""},{"dropping-particle":"","family":"Koerkamp","given":"Marian J.A.Groot","non-dropping-particle":"","parse-names":false,"suffix":""},{"dropping-particle":"","family":"Goddijn","given":"Mariëtte","non-dropping-particle":"","parse-names":false,"suffix":""},{"dropping-particle":"","family":"Eijkemans","given":"Marinus J.C.","non-dropping-particle":"","parse-names":false,"suffix":""},{"dropping-particle":"","family":"Fauser","given":"Bart C.J.M.","non-dropping-particle":"","parse-names":false,"suffix":""},{"dropping-particle":"","family":"Holstege","given":"Frank C.P.","non-dropping-particle":"","parse-names":false,"suffix":""},{"dropping-particle":"","family":"Macklon","given":"Nick S.","non-dropping-particle":"","parse-names":false,"suffix":""}],"container-title":"Scientific reports","id":"ITEM-1","issued":{"date-parts":[["2016","1","22"]]},"publisher":"Sci Rep","title":"An endometrial gene expression signature accurately predicts recurrent implantation failure after IVF","type":"article-journal","volume":"6"},"uris":["http://www.mendeley.com/documents/?uuid=a8420d0a-f992-31fe-81d9-b449ac0107c6"]}],"mendeley":{"formattedCitation":"(Koot &lt;i&gt;et al.&lt;/i&gt;, 2016)","plainTextFormattedCitation":"(Koot et al., 2016)","previouslyFormattedCitation":"(Koot &lt;i&gt;et al.&lt;/i&gt;, 2016)"},"properties":{"noteIndex":0},"schema":"https://github.com/citation-style-language/schema/raw/master/csl-citation.json"}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(Koot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2016)</w:t>
            </w:r>
            <w:r>
              <w:rPr>
                <w:rFonts w:ascii="Times New Roman" w:hAnsi="Times New Roman" w:cs="Times New Roman"/>
                <w:sz w:val="22"/>
                <w:szCs w:val="22"/>
                <w:lang w:val="en-US"/>
              </w:rPr>
              <w:fldChar w:fldCharType="end"/>
            </w:r>
          </w:p>
        </w:tc>
      </w:tr>
      <w:tr w:rsidR="00053100" w:rsidRPr="00053100" w14:paraId="56EC3ECE" w14:textId="77777777" w:rsidTr="00B7109B">
        <w:trPr>
          <w:trHeight w:val="250"/>
        </w:trPr>
        <w:tc>
          <w:tcPr>
            <w:tcW w:w="1598" w:type="dxa"/>
            <w:tcBorders>
              <w:left w:val="single" w:sz="4" w:space="0" w:color="000000"/>
              <w:bottom w:val="single" w:sz="4" w:space="0" w:color="000000"/>
            </w:tcBorders>
          </w:tcPr>
          <w:p w14:paraId="23638CD1" w14:textId="77777777" w:rsidR="00053100" w:rsidRPr="00053100" w:rsidRDefault="00053100" w:rsidP="00053100">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GSE71331</w:t>
            </w:r>
          </w:p>
        </w:tc>
        <w:tc>
          <w:tcPr>
            <w:tcW w:w="812" w:type="dxa"/>
            <w:tcBorders>
              <w:left w:val="single" w:sz="4" w:space="0" w:color="000000"/>
              <w:bottom w:val="single" w:sz="4" w:space="0" w:color="000000"/>
            </w:tcBorders>
          </w:tcPr>
          <w:p w14:paraId="3D1DEE4A"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Bulk</w:t>
            </w:r>
          </w:p>
        </w:tc>
        <w:tc>
          <w:tcPr>
            <w:tcW w:w="992" w:type="dxa"/>
            <w:tcBorders>
              <w:left w:val="single" w:sz="4" w:space="0" w:color="000000"/>
              <w:bottom w:val="single" w:sz="4" w:space="0" w:color="000000"/>
            </w:tcBorders>
          </w:tcPr>
          <w:p w14:paraId="404B67D9"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Array</w:t>
            </w:r>
          </w:p>
        </w:tc>
        <w:tc>
          <w:tcPr>
            <w:tcW w:w="1276" w:type="dxa"/>
            <w:tcBorders>
              <w:left w:val="single" w:sz="4" w:space="0" w:color="000000"/>
              <w:bottom w:val="single" w:sz="4" w:space="0" w:color="000000"/>
            </w:tcBorders>
          </w:tcPr>
          <w:p w14:paraId="27DBB6F1" w14:textId="1E13FE11" w:rsidR="00053100" w:rsidRPr="00053100" w:rsidRDefault="00053100"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(5), RIF (7)</w:t>
            </w:r>
          </w:p>
        </w:tc>
        <w:tc>
          <w:tcPr>
            <w:tcW w:w="1134" w:type="dxa"/>
            <w:tcBorders>
              <w:left w:val="single" w:sz="4" w:space="0" w:color="000000"/>
              <w:bottom w:val="single" w:sz="4" w:space="0" w:color="000000"/>
              <w:right w:val="single" w:sz="4" w:space="0" w:color="000000"/>
            </w:tcBorders>
          </w:tcPr>
          <w:p w14:paraId="0D0116A4" w14:textId="3DD123D5" w:rsidR="00053100" w:rsidRPr="00053100" w:rsidRDefault="00B7109B"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(Coughlan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2014)</w:t>
            </w:r>
            <w:r>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3305FD7D" w14:textId="47E73C4C"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Natural</w:t>
            </w:r>
          </w:p>
        </w:tc>
        <w:tc>
          <w:tcPr>
            <w:tcW w:w="1134" w:type="dxa"/>
            <w:tcBorders>
              <w:left w:val="single" w:sz="4" w:space="0" w:color="000000"/>
              <w:bottom w:val="single" w:sz="4" w:space="0" w:color="000000"/>
            </w:tcBorders>
          </w:tcPr>
          <w:p w14:paraId="07DA7842" w14:textId="5D8A880F"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LH</w:t>
            </w:r>
            <w:r w:rsidR="00B7109B">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w:t>
            </w:r>
            <w:r w:rsidR="00B7109B">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6~10</w:t>
            </w:r>
          </w:p>
        </w:tc>
        <w:tc>
          <w:tcPr>
            <w:tcW w:w="992" w:type="dxa"/>
            <w:tcBorders>
              <w:left w:val="single" w:sz="4" w:space="0" w:color="000000"/>
              <w:bottom w:val="single" w:sz="4" w:space="0" w:color="000000"/>
            </w:tcBorders>
          </w:tcPr>
          <w:p w14:paraId="63443944" w14:textId="4AC5BCEF"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4B55D5DF"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36FAA2A1" w14:textId="3D7065CD" w:rsidR="00053100" w:rsidRPr="00053100" w:rsidRDefault="00053100" w:rsidP="00053100">
            <w:pPr>
              <w:pStyle w:val="ad"/>
              <w:spacing w:line="312" w:lineRule="auto"/>
              <w:jc w:val="both"/>
              <w:rPr>
                <w:rFonts w:ascii="Times New Roman" w:hAnsi="Times New Roman" w:cs="Times New Roman"/>
                <w:sz w:val="22"/>
                <w:szCs w:val="22"/>
                <w:lang w:val="en-US"/>
              </w:rPr>
            </w:pPr>
            <w:r w:rsidRPr="004E0926">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06E4EDBE" w14:textId="5243F96B"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China</w:t>
            </w:r>
          </w:p>
        </w:tc>
        <w:tc>
          <w:tcPr>
            <w:tcW w:w="2469" w:type="dxa"/>
            <w:tcBorders>
              <w:left w:val="single" w:sz="4" w:space="0" w:color="000000"/>
              <w:bottom w:val="single" w:sz="4" w:space="0" w:color="000000"/>
              <w:right w:val="single" w:sz="4" w:space="0" w:color="000000"/>
            </w:tcBorders>
          </w:tcPr>
          <w:p w14:paraId="17815024" w14:textId="5D7B78A7" w:rsidR="00053100" w:rsidRPr="00053100" w:rsidRDefault="00B7109B"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{"citationItems":[{"id":"ITEM-1","itemData":{"DOI":"10.1080/14647273.2017.1324180","ISSN":"1742-8149","PMID":"28523980","abstract":"High endometrial receptivity in the window of implantation (WOI) is essential for successful implantation. However, a diagnostic tool with high specificity for impaired endometrial receptivity remains to be developed. We collected endometrium specimens during the WOI from patients with RIF and women who conceived after one IVF/ICSI attempt. We conducted mRNA microarray on the samples followed by relevant comparative and functional analysis. Microarray analysis revealed 357 dysregulated mRNAs between the two groups. The majority of these mRNAs were found to encode membrane proteins by Gene Ontology (GO) analysis. The major functional biological pathways associated with the down-regulated mRNAs were cytokine-cytokine receptor interaction, the p53 signalling pathway and the complement and coagulation cascades. Up-regulated mRNAs were found mainly to participate in pathways such as PPAR signalling, hematopoietic cell lineage, phosphatidylinositol signalling system, ECM-receptor interaction and notch signalling. AQP3, DPP4 and TIMP3 whose expression patterns were down-regulated in RIF patients both by microarray and real-time PCR had a high correspondence with previous studies demonstrating that these genes may contribute to the defects in endometrial receptivity in RIF patients. Overall, these RIF-associated mRNAs may help devise new diagnostic tools for endometrial receptivity.","author":[{"dropping-particle":"","family":"Shi","given":"Cheng","non-dropping-particle":"","parse-names":false,"suffix":""},{"dropping-particle":"","family":"Han","given":"Hong Jing","non-dropping-particle":"","parse-names":false,"suffix":""},{"dropping-particle":"","family":"Fan","given":"Li Juan","non-dropping-particle":"","parse-names":false,"suffix":""},{"dropping-particle":"","family":"Guan","given":"Jing","non-dropping-particle":"","parse-names":false,"suffix":""},{"dropping-particle":"","family":"Zheng","given":"Xing Bang","non-dropping-particle":"","parse-names":false,"suffix":""},{"dropping-particle":"","family":"Chen","given":"Xi","non-dropping-particle":"","parse-names":false,"suffix":""},{"dropping-particle":"","family":"Liang","given":"Rong","non-dropping-particle":"","parse-names":false,"suffix":""},{"dropping-particle":"","family":"Zhang","given":"Xiao Wei","non-dropping-particle":"","parse-names":false,"suffix":""},{"dropping-particle":"","family":"Sun","given":"Kun Kun","non-dropping-particle":"","parse-names":false,"suffix":""},{"dropping-particle":"","family":"Cui","given":"Qing Hua","non-dropping-particle":"","parse-names":false,"suffix":""},{"dropping-particle":"","family":"Shen","given":"Huan","non-dropping-particle":"","parse-names":false,"suffix":""}],"container-title":"Human fertility (Cambridge, England)","id":"ITEM-1","issue":"3","issued":{"date-parts":[["2018","7","3"]]},"page":"183-194","publisher":"Hum Fertil (Camb)","title":"Diverse endometrial mRNA signatures during the window of implantation in patients with repeated implantation failure","type":"article-journal","volume":"21"},"uris":["http://www.mendeley.com/documents/?uuid=7a146a7c-e8ed-37c8-8c2b-e49dd7e4246d"]}],"mendeley":{"formattedCitation":"(Shi &lt;i&gt;et al.&lt;/i&gt;, 2018)","plainTextFormattedCitation":"(Shi et al., 2018)","previouslyFormattedCitation":"(Shi &lt;i&gt;et al.&lt;/i&gt;, 2018)"},"properties":{"noteIndex":0},"schema":"https://github.com/citation-style-language/schema/raw/master/csl-citation.json"}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(Shi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2018)</w:t>
            </w:r>
            <w:r>
              <w:rPr>
                <w:rFonts w:ascii="Times New Roman" w:hAnsi="Times New Roman" w:cs="Times New Roman"/>
                <w:sz w:val="22"/>
                <w:szCs w:val="22"/>
                <w:lang w:val="en-US"/>
              </w:rPr>
              <w:fldChar w:fldCharType="end"/>
            </w:r>
          </w:p>
        </w:tc>
      </w:tr>
      <w:tr w:rsidR="00053100" w:rsidRPr="00053100" w14:paraId="5A2C4D5E" w14:textId="77777777" w:rsidTr="00B7109B">
        <w:trPr>
          <w:trHeight w:val="238"/>
        </w:trPr>
        <w:tc>
          <w:tcPr>
            <w:tcW w:w="1598" w:type="dxa"/>
            <w:tcBorders>
              <w:left w:val="single" w:sz="4" w:space="0" w:color="000000"/>
              <w:bottom w:val="single" w:sz="4" w:space="0" w:color="000000"/>
            </w:tcBorders>
          </w:tcPr>
          <w:p w14:paraId="5A77BFDA" w14:textId="77777777" w:rsidR="00053100" w:rsidRPr="00053100" w:rsidRDefault="00053100" w:rsidP="00053100">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GSE92324</w:t>
            </w:r>
          </w:p>
        </w:tc>
        <w:tc>
          <w:tcPr>
            <w:tcW w:w="812" w:type="dxa"/>
            <w:tcBorders>
              <w:left w:val="single" w:sz="4" w:space="0" w:color="000000"/>
              <w:bottom w:val="single" w:sz="4" w:space="0" w:color="000000"/>
            </w:tcBorders>
          </w:tcPr>
          <w:p w14:paraId="3F07FF1D"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Bulk</w:t>
            </w:r>
          </w:p>
        </w:tc>
        <w:tc>
          <w:tcPr>
            <w:tcW w:w="992" w:type="dxa"/>
            <w:tcBorders>
              <w:left w:val="single" w:sz="4" w:space="0" w:color="000000"/>
              <w:bottom w:val="single" w:sz="4" w:space="0" w:color="000000"/>
            </w:tcBorders>
          </w:tcPr>
          <w:p w14:paraId="30D2CB1C"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Array</w:t>
            </w:r>
          </w:p>
        </w:tc>
        <w:tc>
          <w:tcPr>
            <w:tcW w:w="1276" w:type="dxa"/>
            <w:tcBorders>
              <w:left w:val="single" w:sz="4" w:space="0" w:color="000000"/>
              <w:bottom w:val="single" w:sz="4" w:space="0" w:color="000000"/>
            </w:tcBorders>
          </w:tcPr>
          <w:p w14:paraId="21C6C744" w14:textId="15E601F9" w:rsidR="00053100" w:rsidRPr="00053100" w:rsidRDefault="00053100"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(8), RIF (10)</w:t>
            </w:r>
          </w:p>
        </w:tc>
        <w:tc>
          <w:tcPr>
            <w:tcW w:w="1134" w:type="dxa"/>
            <w:tcBorders>
              <w:left w:val="single" w:sz="4" w:space="0" w:color="000000"/>
              <w:bottom w:val="single" w:sz="4" w:space="0" w:color="000000"/>
              <w:right w:val="single" w:sz="4" w:space="0" w:color="000000"/>
            </w:tcBorders>
          </w:tcPr>
          <w:p w14:paraId="67713B79" w14:textId="679CD38E" w:rsidR="00053100" w:rsidRPr="0051573A" w:rsidRDefault="00B7109B"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{"citationItems":[{"id":"ITEM-1","itemData":{"abstract":"Recurrent implantation failure (RIF) is an iatrogenic condition, being the result of repetitive unsuccessful cycles of IVF or intracytoplasmic sperm injection (ICSI) treatment. The aim of this review was to assess the definitions of RIF used in literature as well as suggest a uniform definition of this condition. A systematic search of MEDLINE, Embase and Cochrane Library was conducted. The most commonly stated definitions described RIF as 'three or more failed treatment cycles' or 'two or more failed cycles'. Other identified definitions were based solely on the number of embryos transferred in previous cycles or combined the number of previously failed cycles with the number of transferred embryos. Several other definitions were also identified. This review highlights the lack of uniformity of the definition of RIF. Based on the available literature and the expert opinion of the authors, RIF should be defined as the absence of implantation after two consecutive cycles of IVF, ICSI or frozen embryo replacement cycles where the cumulative number of transferred embryos was no less than four for cleavage-stage embryos and no less than two for blastocysts, with all embryos being of good quality and of appropriate developmental stage. Recurrent implantation failure (RIF) is a condition resulting from repetitive unsuccessful cycles of IVF or intracytoplasmic sperm injection (ICSI) treatment. The aim of this review was to assess the definitions of RIF used in literature as well as suggest a uniform definition of this condition. A systematic search of MEDLINE, Embase and Cochrane Library was conducted. The most commonly stated definitions described RIF as 'three or more failed treatment IVF or ICSI cycles' or 'two or more' failed cycles. Other identified definitions were based only on the number of embryos transferred in previous cycles or combined the number of previously failed cycles with the number of transferred embryos. This review highlights the lack of consistency of the definition of recurrent implantation failure. Based on the available literature and the expert opinion of the authors, RIF should be defined as the absence of attachment of the embryo to the lining of the womb after two consecutive cycles of IVF, ICSI or frozen embryo replacement cycles where the cumulative number of transferred embryos was no less than four for day-2 embryos and no less than 2 for day-5 embryos (blastocysts), with all embryos being of good quality and of appropriate d…","author":[{"dropping-particle":"","family":"Polanski","given":"Lukasz T.","non-dropping-particle":"","parse-names":false,"suffix":""},{"dropping-particle":"","family":"Baumgarten","given":"Miriam N.","non-dropping-particle":"","parse-names":false,"suffix":""},{"dropping-particle":"","family":"Quenby","given":"Siobhan","non-dropping-particle":"","parse-names":false,"suffix":""},{"dropping-particle":"","family":"Brosens","given":"Jan","non-dropping-particle":"","parse-names":false,"suffix":""},{"dropping-particle":"","family":"Campbell","given":"Bruce K.","non-dropping-particle":"","parse-names":false,"suffix":""},{"dropping-particle":"","family":"Raine-Fenning","given":"Nicholas J.","non-dropping-particle":"","parse-names":false,"suffix":""}],"container-title":"Reproductive biomedicine online","id":"ITEM-1","issue":"4","issued":{"date-parts":[["2014"]]},"page":"409-423","publisher":"Reprod Biomed Online","title":"What exactly do we mean by 'recurrent implantation failure'? A systematic review and opinion","type":"article-journal","volume":"28"},"uris":["http://www.mendeley.com/documents/?uuid=03310c87-d4c3-34dc-a0f6-d2db7f7b8085"]}],"mendeley":{"formattedCitation":"(Polanski &lt;i&gt;et al.&lt;/i&gt;, 2014)","plainTextFormattedCitation":"(Polanski et al., 2014)","previouslyFormattedCitation":"(Polanski &lt;i&gt;et al.&lt;/i&gt;, 2014)"},"properties":{"noteIndex":0},"schema":"https://github.com/citation-style-language/schema/raw/master/csl-citation.json"}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(Polanski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2014)</w:t>
            </w:r>
            <w:r>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61D74A3A" w14:textId="58D4669B"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Artificial</w:t>
            </w:r>
          </w:p>
        </w:tc>
        <w:tc>
          <w:tcPr>
            <w:tcW w:w="1134" w:type="dxa"/>
            <w:tcBorders>
              <w:left w:val="single" w:sz="4" w:space="0" w:color="000000"/>
              <w:bottom w:val="single" w:sz="4" w:space="0" w:color="000000"/>
            </w:tcBorders>
          </w:tcPr>
          <w:p w14:paraId="1B477AB3" w14:textId="527DD92F"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 xml:space="preserve">P4 + </w:t>
            </w:r>
            <w:r w:rsidRPr="0051573A">
              <w:rPr>
                <w:rFonts w:ascii="Times New Roman" w:hAnsi="Times New Roman" w:cs="Times New Roman"/>
                <w:sz w:val="22"/>
                <w:szCs w:val="22"/>
                <w:lang w:val="en-US"/>
              </w:rPr>
              <w:t>4</w:t>
            </w:r>
          </w:p>
        </w:tc>
        <w:tc>
          <w:tcPr>
            <w:tcW w:w="992" w:type="dxa"/>
            <w:tcBorders>
              <w:left w:val="single" w:sz="4" w:space="0" w:color="000000"/>
              <w:bottom w:val="single" w:sz="4" w:space="0" w:color="000000"/>
            </w:tcBorders>
          </w:tcPr>
          <w:p w14:paraId="203AE086" w14:textId="4101BE09"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0DC430B3" w14:textId="1F28079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3A8D0976" w14:textId="059CB7E6" w:rsidR="00053100" w:rsidRPr="00053100" w:rsidRDefault="00053100" w:rsidP="00053100">
            <w:pPr>
              <w:pStyle w:val="ad"/>
              <w:spacing w:line="312" w:lineRule="auto"/>
              <w:jc w:val="both"/>
              <w:rPr>
                <w:rFonts w:ascii="Times New Roman" w:hAnsi="Times New Roman" w:cs="Times New Roman"/>
                <w:sz w:val="22"/>
                <w:szCs w:val="22"/>
                <w:lang w:val="en-US"/>
              </w:rPr>
            </w:pPr>
            <w:r w:rsidRPr="004E0926">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4B54FB7F" w14:textId="25814A7E"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India</w:t>
            </w:r>
          </w:p>
        </w:tc>
        <w:tc>
          <w:tcPr>
            <w:tcW w:w="2469" w:type="dxa"/>
            <w:tcBorders>
              <w:left w:val="single" w:sz="4" w:space="0" w:color="000000"/>
              <w:bottom w:val="single" w:sz="4" w:space="0" w:color="000000"/>
              <w:right w:val="single" w:sz="4" w:space="0" w:color="000000"/>
            </w:tcBorders>
          </w:tcPr>
          <w:p w14:paraId="1641176C" w14:textId="10B6FEC2" w:rsidR="00053100" w:rsidRPr="00053100" w:rsidRDefault="00B7109B"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{"citationItems":[{"id":"ITEM-1","itemData":{"DOI":"10.1111/AJI.12679","ISSN":"1600-0897","PMID":"28370781","abstract":"Problem: Implantation failure (IF) even after the good-quality embryo transfer (ET) is main obstacle in in vitro fertilization (IVF). We aim to study the genomics of endometrial receptivity in IF patients under controlled ovarian stimulation (COS) during which ET is generally practised in IVF. Method of study: Endometrial gene expression profiling in IF patients (n=10) and oocyte donors (n=8) were compared during window of implantation under COS by microarray. Enrichment analysis of microarray data was performed to determine dysregulated pathways. Microarray results were validated by real-time PCR. Localization of genes related to immune response (progestagen-associated endometrial protein (PAEP), leukaemia inhibitory factor (LIF), interleukin-6 signal transducer (IL6ST) was detected by immunohistochemistry. Results: The gene ontology, pathway analysis and enrichment mapping revealed significant downregulation in activation and regulation of immune and inflammation response in IF patients under COS. The lower expression of PAEP, LIF and IL6ST in cases compared to controls by real time and immunohistochemistry suggests the functional importance of these genes. Conclusion: Importance of immune and inflammatory response in endometrial receptivity adds on to the current knowledge of gene expression profile in IF under COS. The panel of genes involved in these pathways would be useful in determining further line of treatment for IF during IVF.","author":[{"dropping-particle":"","family":"Pathare","given":"Amruta D.S.","non-dropping-particle":"","parse-names":false,"suffix":""},{"dropping-particle":"","family":"Zaveri","given":"Kusum","non-dropping-particle":"","parse-names":false,"suffix":""},{"dropping-particle":"","family":"Hinduja","given":"Indira","non-dropping-particle":"","parse-names":false,"suffix":""}],"container-title":"American journal of reproductive immunology (New York, N.Y. : 1989)","id":"ITEM-1","issue":"1","issued":{"date-parts":[["2017","7","1"]]},"publisher":"Am J Reprod Immunol","title":"Downregulation of genes related to immune and inflammatory response in IVF implantation failure cases under controlled ovarian stimulation","type":"article-journal","volume":"78"},"uris":["http://www.mendeley.com/documents/?uuid=9e21f3e6-b2e5-326c-b48c-010c124ebbf6"]}],"mendeley":{"formattedCitation":"(Pathare &lt;i&gt;et al.&lt;/i&gt;, 2017)","plainTextFormattedCitation":"(Pathare et al., 2017)","previouslyFormattedCitation":"(Pathare &lt;i&gt;et al.&lt;/i&gt;, 2017)"},"properties":{"noteIndex":0},"schema":"https://github.com/citation-style-language/schema/raw/master/csl-citation.json"}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(Pathare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2017)</w:t>
            </w:r>
            <w:r>
              <w:rPr>
                <w:rFonts w:ascii="Times New Roman" w:hAnsi="Times New Roman" w:cs="Times New Roman"/>
                <w:sz w:val="22"/>
                <w:szCs w:val="22"/>
                <w:lang w:val="en-US"/>
              </w:rPr>
              <w:fldChar w:fldCharType="end"/>
            </w:r>
          </w:p>
        </w:tc>
      </w:tr>
      <w:tr w:rsidR="00053100" w:rsidRPr="00053100" w14:paraId="06A2F4B7" w14:textId="77777777" w:rsidTr="00B7109B">
        <w:trPr>
          <w:trHeight w:val="345"/>
        </w:trPr>
        <w:tc>
          <w:tcPr>
            <w:tcW w:w="1598" w:type="dxa"/>
            <w:tcBorders>
              <w:left w:val="single" w:sz="4" w:space="0" w:color="000000"/>
              <w:bottom w:val="single" w:sz="4" w:space="0" w:color="000000"/>
            </w:tcBorders>
          </w:tcPr>
          <w:p w14:paraId="020758F9" w14:textId="44EA1539" w:rsidR="00053100" w:rsidRPr="00053100" w:rsidRDefault="00053100" w:rsidP="00053100">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PRJNA1141235</w:t>
            </w:r>
          </w:p>
        </w:tc>
        <w:tc>
          <w:tcPr>
            <w:tcW w:w="812" w:type="dxa"/>
            <w:tcBorders>
              <w:left w:val="single" w:sz="4" w:space="0" w:color="000000"/>
              <w:bottom w:val="single" w:sz="4" w:space="0" w:color="000000"/>
            </w:tcBorders>
          </w:tcPr>
          <w:p w14:paraId="6EED072B" w14:textId="4D154B6E"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Single cells</w:t>
            </w:r>
          </w:p>
        </w:tc>
        <w:tc>
          <w:tcPr>
            <w:tcW w:w="992" w:type="dxa"/>
            <w:tcBorders>
              <w:left w:val="single" w:sz="4" w:space="0" w:color="000000"/>
              <w:bottom w:val="single" w:sz="4" w:space="0" w:color="000000"/>
            </w:tcBorders>
          </w:tcPr>
          <w:p w14:paraId="1638FE1A" w14:textId="44FBAC54"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RNA-seq</w:t>
            </w:r>
          </w:p>
        </w:tc>
        <w:tc>
          <w:tcPr>
            <w:tcW w:w="1276" w:type="dxa"/>
            <w:tcBorders>
              <w:left w:val="single" w:sz="4" w:space="0" w:color="000000"/>
              <w:bottom w:val="single" w:sz="4" w:space="0" w:color="000000"/>
            </w:tcBorders>
          </w:tcPr>
          <w:p w14:paraId="2378F135" w14:textId="275B3914" w:rsidR="00053100" w:rsidRPr="00053100" w:rsidRDefault="00053100"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w:t>
            </w:r>
            <w:r w:rsidRPr="0051573A">
              <w:rPr>
                <w:rFonts w:ascii="Times New Roman" w:hAnsi="Times New Roman" w:cs="Times New Roman"/>
                <w:sz w:val="22"/>
                <w:szCs w:val="22"/>
                <w:lang w:val="en-US"/>
              </w:rPr>
              <w:t>4</w:t>
            </w:r>
            <w:r w:rsidRPr="00053100">
              <w:rPr>
                <w:rFonts w:ascii="Times New Roman" w:hAnsi="Times New Roman" w:cs="Times New Roman"/>
                <w:sz w:val="22"/>
                <w:szCs w:val="22"/>
                <w:lang w:val="en-US"/>
              </w:rPr>
              <w:t>), RIF (</w:t>
            </w:r>
            <w:r w:rsidRPr="0051573A">
              <w:rPr>
                <w:rFonts w:ascii="Times New Roman" w:hAnsi="Times New Roman" w:cs="Times New Roman"/>
                <w:sz w:val="22"/>
                <w:szCs w:val="22"/>
                <w:lang w:val="en-US"/>
              </w:rPr>
              <w:t>4</w:t>
            </w:r>
            <w:r w:rsidRPr="00053100">
              <w:rPr>
                <w:rFonts w:ascii="Times New Roman" w:hAnsi="Times New Roman" w:cs="Times New Roman"/>
                <w:sz w:val="22"/>
                <w:szCs w:val="22"/>
                <w:lang w:val="en-US"/>
              </w:rPr>
              <w:t>)</w:t>
            </w:r>
          </w:p>
        </w:tc>
        <w:tc>
          <w:tcPr>
            <w:tcW w:w="1134" w:type="dxa"/>
            <w:tcBorders>
              <w:left w:val="single" w:sz="4" w:space="0" w:color="000000"/>
              <w:bottom w:val="single" w:sz="4" w:space="0" w:color="000000"/>
              <w:right w:val="single" w:sz="4" w:space="0" w:color="000000"/>
            </w:tcBorders>
          </w:tcPr>
          <w:p w14:paraId="653039C1" w14:textId="3CD2EC52" w:rsidR="00053100" w:rsidRPr="00053100" w:rsidRDefault="00B7109B"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(Coughlan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2014)</w:t>
            </w:r>
            <w:r>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71CA35D9" w14:textId="7E0371C3"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Natural</w:t>
            </w:r>
          </w:p>
        </w:tc>
        <w:tc>
          <w:tcPr>
            <w:tcW w:w="1134" w:type="dxa"/>
            <w:tcBorders>
              <w:left w:val="single" w:sz="4" w:space="0" w:color="000000"/>
              <w:bottom w:val="single" w:sz="4" w:space="0" w:color="000000"/>
            </w:tcBorders>
          </w:tcPr>
          <w:p w14:paraId="7580BD7D" w14:textId="7A7E5BE9" w:rsidR="00053100" w:rsidRPr="0051573A" w:rsidRDefault="00053100" w:rsidP="00053100">
            <w:pPr>
              <w:pStyle w:val="ad"/>
              <w:spacing w:line="312" w:lineRule="auto"/>
              <w:jc w:val="both"/>
              <w:rPr>
                <w:rFonts w:ascii="Times New Roman" w:hAnsi="Times New Roman" w:cs="Times New Roman"/>
                <w:sz w:val="22"/>
                <w:szCs w:val="22"/>
                <w:lang w:val="en-US"/>
              </w:rPr>
            </w:pPr>
            <w:r w:rsidRPr="0051573A">
              <w:rPr>
                <w:rFonts w:ascii="Times New Roman" w:hAnsi="Times New Roman" w:cs="Times New Roman"/>
                <w:sz w:val="22"/>
                <w:szCs w:val="22"/>
                <w:lang w:val="en-US"/>
              </w:rPr>
              <w:t>LP, MS</w:t>
            </w:r>
          </w:p>
        </w:tc>
        <w:tc>
          <w:tcPr>
            <w:tcW w:w="992" w:type="dxa"/>
            <w:tcBorders>
              <w:left w:val="single" w:sz="4" w:space="0" w:color="000000"/>
              <w:bottom w:val="single" w:sz="4" w:space="0" w:color="000000"/>
            </w:tcBorders>
          </w:tcPr>
          <w:p w14:paraId="66F267C2" w14:textId="03FF6EEE"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7C836759" w14:textId="794F5369"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5820B46C" w14:textId="229091DC" w:rsidR="00053100" w:rsidRPr="00053100" w:rsidRDefault="00053100" w:rsidP="00053100">
            <w:pPr>
              <w:pStyle w:val="ad"/>
              <w:spacing w:line="312" w:lineRule="auto"/>
              <w:jc w:val="both"/>
              <w:rPr>
                <w:rFonts w:ascii="Times New Roman" w:hAnsi="Times New Roman" w:cs="Times New Roman"/>
                <w:sz w:val="22"/>
                <w:szCs w:val="22"/>
                <w:lang w:val="en-US"/>
              </w:rPr>
            </w:pPr>
            <w:r w:rsidRPr="004E0926">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66834392" w14:textId="060A0DD1"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China</w:t>
            </w:r>
          </w:p>
        </w:tc>
        <w:tc>
          <w:tcPr>
            <w:tcW w:w="2469" w:type="dxa"/>
            <w:tcBorders>
              <w:left w:val="single" w:sz="4" w:space="0" w:color="000000"/>
              <w:bottom w:val="single" w:sz="4" w:space="0" w:color="000000"/>
              <w:right w:val="single" w:sz="4" w:space="0" w:color="000000"/>
            </w:tcBorders>
          </w:tcPr>
          <w:p w14:paraId="54C437F1" w14:textId="6BF909AE" w:rsidR="00053100" w:rsidRPr="0051573A" w:rsidRDefault="00B7109B"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{"citationItems":[{"id":"ITEM-1","itemData":{"DOI":"10.1186/S12958-024-01263-1","ISSN":"1477-7827","PMID":"39085925","abstract":"Background: Reduced endometrium thickness and receptivity are two important reasons for recurrent implantation failure (RIF). In order to elucidate differences between these two types of endometrial defects in terms of molecular signatures, cellular interactions, and structural changes, we systematically investigated the single-cell transcriptomic atlas across three distinct groups: RIF patients with thin endometrium (≤ 6 mm, TE-RIF), RIF patients with normal endometrium thickness (≥ 8 mm, NE-RIF), and fertile individuals (Control). Methods: The late proliferative and mid-secretory phases of the endometrium were collected from three individuals in the TE-RIF group, two in the NE-RIF group, and three in the control group. The study employed a combination of advanced techniques. Single-cell RNA sequencing (scRNA-seq) was utilized to capture comprehensive transcriptomic profiles at the single-cell level, providing insights into gene expression patterns within specific cell types. Scanning and transmission electron microscopy were employed to visualize ultrastructural details of the endometrial tissue, while hematoxylin and eosin staining facilitated the examination of tissue morphology and cellular composition. Immunohistochemistry techniques were also applied to detect and localize specific protein markers relevant to endometrial receptivity and function. Results: Through comparative analysis of differentially expressed genes among these groups and KEGG pathway analysis, the TE-RIF group exhibited notable dysregulations in the TNF and MAPK signaling pathways, which are pivotal in stromal cell growth and endometrial receptivity. Conversely, in the NE-RIF group, disturbances in energy metabolism emerged as a primary contributor to reduced endometrial receptivity. Additionally, using CellPhoneDB for intercellular communication analysis revealed aberrant interactions between epithelial and stromal cells, impacting endometrial receptivity specifically in the TE-RIF group. Conclusion: Overall, our findings provide valuable insights into the heterogeneous molecular pathways and cellular interactions associated with RIF in different endometrial conditions. These insights may pave the way for targeted therapeutic interventions aimed at improving endometrial receptivity and enhancing reproductive outcomes in patients undergoing ART. Further research is warranted to validate these findings and translate them into clinical applications for personalized fertility trea…","author":[{"dropping-particle":"","family":"Fu","given":"Xiaoying","non-dropping-particle":"","parse-names":false,"suffix":""},{"dropping-particle":"","family":"Guo","given":"Xiaoyan","non-dropping-particle":"","parse-names":false,"suffix":""},{"dropping-particle":"","family":"Xu","given":"Han","non-dropping-particle":"","parse-names":false,"suffix":""},{"dropping-particle":"","family":"Li","given":"Yini","non-dropping-particle":"","parse-names":false,"suffix":""},{"dropping-particle":"","family":"Jin","given":"Bihui","non-dropping-particle":"","parse-names":false,"suffix":""},{"dropping-particle":"","family":"Zhang","given":"Xirong","non-dropping-particle":"","parse-names":false,"suffix":""},{"dropping-particle":"","family":"Shu","given":"Chongyi","non-dropping-particle":"","parse-names":false,"suffix":""},{"dropping-particle":"","family":"Fan","given":"Yuhang","non-dropping-particle":"","parse-names":false,"suffix":""},{"dropping-particle":"","family":"Yu","given":"Yiqi","non-dropping-particle":"","parse-names":false,"suffix":""},{"dropping-particle":"","family":"Tian","given":"Yuqing","non-dropping-particle":"","parse-names":false,"suffix":""},{"dropping-particle":"","family":"Tian","given":"Jiao","non-dropping-particle":"","parse-names":false,"suffix":""},{"dropping-particle":"","family":"Shu","given":"Jing","non-dropping-particle":"","parse-names":false,"suffix":""}],"container-title":"Reproductive biology and endocrinology : RB&amp;E","id":"ITEM-1","issue":"1","issued":{"date-parts":[["2024","12","1"]]},"publisher":"Reprod Biol Endocrinol","title":"Varied cellular abnormalities in thin vs. normal endometrium in recurrent implantation failure by single-cell transcriptomics","type":"article-journal","volume":"22"},"uris":["http://www.mendeley.com/documents/?uuid=927d3470-edc8-3d58-9951-43991eb3ed08"]}],"mendeley":{"formattedCitation":"(Fu &lt;i&gt;et al.&lt;/i&gt;, 2024)","plainTextFormattedCitation":"(Fu et al., 2024)","previouslyFormattedCitation":"(Fu &lt;i&gt;et al.&lt;/i&gt;, 2024)"},"properties":{"noteIndex":0},"schema":"https://github.com/citation-style-language/schema/raw/master/csl-citation.json"}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(Fu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2024)</w:t>
            </w:r>
            <w:r>
              <w:rPr>
                <w:rFonts w:ascii="Times New Roman" w:hAnsi="Times New Roman" w:cs="Times New Roman"/>
                <w:sz w:val="22"/>
                <w:szCs w:val="22"/>
                <w:lang w:val="en-US"/>
              </w:rPr>
              <w:fldChar w:fldCharType="end"/>
            </w:r>
          </w:p>
        </w:tc>
      </w:tr>
      <w:tr w:rsidR="00053100" w:rsidRPr="00053100" w14:paraId="3E9EBEDB" w14:textId="77777777" w:rsidTr="00B7109B">
        <w:trPr>
          <w:trHeight w:val="345"/>
        </w:trPr>
        <w:tc>
          <w:tcPr>
            <w:tcW w:w="1598" w:type="dxa"/>
            <w:tcBorders>
              <w:left w:val="single" w:sz="4" w:space="0" w:color="000000"/>
              <w:bottom w:val="single" w:sz="4" w:space="0" w:color="000000"/>
            </w:tcBorders>
          </w:tcPr>
          <w:p w14:paraId="70A105C2" w14:textId="77777777" w:rsidR="00053100" w:rsidRPr="00053100" w:rsidRDefault="00053100" w:rsidP="00053100">
            <w:pPr>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PRJNA314429</w:t>
            </w:r>
          </w:p>
        </w:tc>
        <w:tc>
          <w:tcPr>
            <w:tcW w:w="812" w:type="dxa"/>
            <w:tcBorders>
              <w:left w:val="single" w:sz="4" w:space="0" w:color="000000"/>
              <w:bottom w:val="single" w:sz="4" w:space="0" w:color="000000"/>
            </w:tcBorders>
          </w:tcPr>
          <w:p w14:paraId="6C66D1EB"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Bulk</w:t>
            </w:r>
          </w:p>
        </w:tc>
        <w:tc>
          <w:tcPr>
            <w:tcW w:w="992" w:type="dxa"/>
            <w:tcBorders>
              <w:left w:val="single" w:sz="4" w:space="0" w:color="000000"/>
              <w:bottom w:val="single" w:sz="4" w:space="0" w:color="000000"/>
            </w:tcBorders>
          </w:tcPr>
          <w:p w14:paraId="3F901AAF"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RNA-seq</w:t>
            </w:r>
          </w:p>
        </w:tc>
        <w:tc>
          <w:tcPr>
            <w:tcW w:w="1276" w:type="dxa"/>
            <w:tcBorders>
              <w:left w:val="single" w:sz="4" w:space="0" w:color="000000"/>
              <w:bottom w:val="single" w:sz="4" w:space="0" w:color="000000"/>
            </w:tcBorders>
          </w:tcPr>
          <w:p w14:paraId="165C7E39" w14:textId="0C7364E3" w:rsidR="00053100" w:rsidRPr="00053100" w:rsidRDefault="00053100"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t>Control</w:t>
            </w:r>
            <w:r w:rsidRPr="00053100">
              <w:rPr>
                <w:rFonts w:ascii="Times New Roman" w:hAnsi="Times New Roman" w:cs="Times New Roman"/>
                <w:sz w:val="22"/>
                <w:szCs w:val="22"/>
                <w:lang w:val="en-US"/>
              </w:rPr>
              <w:t xml:space="preserve"> </w:t>
            </w:r>
            <w:r w:rsidRPr="00053100">
              <w:rPr>
                <w:rFonts w:ascii="Times New Roman" w:hAnsi="Times New Roman" w:cs="Times New Roman"/>
                <w:sz w:val="22"/>
                <w:szCs w:val="22"/>
                <w:lang w:val="en-US"/>
              </w:rPr>
              <w:t>(3), RIF (5)</w:t>
            </w:r>
          </w:p>
        </w:tc>
        <w:tc>
          <w:tcPr>
            <w:tcW w:w="1134" w:type="dxa"/>
            <w:tcBorders>
              <w:left w:val="single" w:sz="4" w:space="0" w:color="000000"/>
              <w:bottom w:val="single" w:sz="4" w:space="0" w:color="000000"/>
              <w:right w:val="single" w:sz="4" w:space="0" w:color="000000"/>
            </w:tcBorders>
          </w:tcPr>
          <w:p w14:paraId="408DB450" w14:textId="263FF549" w:rsidR="00053100" w:rsidRPr="00053100" w:rsidRDefault="00B7109B"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{"citationItems":[{"id":"ITEM-1","itemData":{"DOI":"10.1016/j.rbmo.2013.08.011","ISSN":"14726483","PMID":"24269084","abstract":"Recurrent implantation failure refers to failure to achieve a clinical pregnancy after transfer of at least four good-quality embryos in a minimum of three fresh or frozen cycles in a woman under the age of 40 years. The failure to implant may be a consequence of embryo or uterine factors. Thorough investigations should be carried out to ascertain whether there is any underlying cause of the condition. Ovarian function should be assessed by measurement of antral follicle count, FSH and anti-Müllerian hormone. Increased sperm DNA fragmentation may be a contributory cause. Various uterine pathology including fibroids, endometrial polyps, congenital anomalies and intrauterine adhesions should be excluded by ultrasonography and hysteroscopy. Hydrosalpinges are a recognized cause of implantation failure and should be excluded by hysterosalpingogram; if necessary, laparoscopy should be performed to confirm or refute the diagnosis. Treatment offered should be evidence based, aimed at improving embryo quality or endometrial receptivity. Gamete donation or surrogacy may be necessary if there is no realistic chance of success with further IVF attempts. Recurrent implantation failure is an important cause of repeated IVF failure. It is estimated that approximately 10% of women seeking IVF treatment will experience this particular problem. It is a distressing condition for patients and frustrating for clinicians and scientists. In this review, we have discussed the definition and management of the possible underlying causes of recurrent implantation failure.","author":[{"dropping-particle":"","family":"Coughlan","given":"C.","non-dropping-particle":"","parse-names":false,"suffix":""},{"dropping-particle":"","family":"Ledger","given":"W.","non-dropping-particle":"","parse-names":false,"suffix":""},{"dropping-particle":"","family":"Wang","given":"Q.","non-dropping-particle":"","parse-names":false,"suffix":""},{"dropping-particle":"","family":"Liu","given":"Fenghua","non-dropping-particle":"","parse-names":false,"suffix":""},{"dropping-particle":"","family":"Demirol","given":"Aygul","non-dropping-particle":"","parse-names":false,"suffix":""},{"dropping-particle":"","family":"Gurgan","given":"Timur","non-dropping-particle":"","parse-names":false,"suffix":""},{"dropping-particle":"","family":"Cutting","given":"R.","non-dropping-particle":"","parse-names":false,"suffix":""},{"dropping-particle":"","family":"Ong","given":"K.","non-dropping-particle":"","parse-names":false,"suffix":""},{"dropping-particle":"","family":"Sallam","given":"H.","non-dropping-particle":"","parse-names":false,"suffix":""},{"dropping-particle":"","family":"Li","given":"T. C.","non-dropping-particle":"","parse-names":false,"suffix":""}],"container-title":"Reproductive BioMedicine Online","id":"ITEM-1","issue":"1","issued":{"date-parts":[["2014","1"]]},"page":"14-38","publisher":"Reprod Biomed Online","title":"Recurrent implantation failure: Definition and management","type":"article-journal","volume":"28"},"uris":["http://www.mendeley.com/documents/?uuid=c73af7d6-9fb0-39ab-8244-446539e7eaa8"]}],"mendeley":{"formattedCitation":"(Coughlan &lt;i&gt;et al.&lt;/i&gt;, 2014)","plainTextFormattedCitation":"(Coughlan et al., 2014)"},"properties":{"noteIndex":0},"schema":"https://github.com/citation-style-language/schema/raw/master/csl-citation.json"}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(Coughlan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2014)</w:t>
            </w:r>
            <w:r>
              <w:rPr>
                <w:rFonts w:ascii="Times New Roman" w:hAnsi="Times New Roman" w:cs="Times New Roman"/>
                <w:sz w:val="22"/>
                <w:szCs w:val="22"/>
                <w:lang w:val="en-US"/>
              </w:rPr>
              <w:fldChar w:fldCharType="end"/>
            </w:r>
          </w:p>
        </w:tc>
        <w:tc>
          <w:tcPr>
            <w:tcW w:w="1134" w:type="dxa"/>
            <w:tcBorders>
              <w:left w:val="single" w:sz="4" w:space="0" w:color="000000"/>
              <w:bottom w:val="single" w:sz="4" w:space="0" w:color="000000"/>
            </w:tcBorders>
          </w:tcPr>
          <w:p w14:paraId="75631198" w14:textId="252B4533"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Natural</w:t>
            </w:r>
          </w:p>
        </w:tc>
        <w:tc>
          <w:tcPr>
            <w:tcW w:w="1134" w:type="dxa"/>
            <w:tcBorders>
              <w:left w:val="single" w:sz="4" w:space="0" w:color="000000"/>
              <w:bottom w:val="single" w:sz="4" w:space="0" w:color="000000"/>
            </w:tcBorders>
          </w:tcPr>
          <w:p w14:paraId="74A6D998" w14:textId="080A6B68"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LH + 7</w:t>
            </w:r>
          </w:p>
        </w:tc>
        <w:tc>
          <w:tcPr>
            <w:tcW w:w="992" w:type="dxa"/>
            <w:tcBorders>
              <w:left w:val="single" w:sz="4" w:space="0" w:color="000000"/>
              <w:bottom w:val="single" w:sz="4" w:space="0" w:color="000000"/>
            </w:tcBorders>
          </w:tcPr>
          <w:p w14:paraId="3FF69348" w14:textId="7B12F828"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Biopsy</w:t>
            </w:r>
          </w:p>
        </w:tc>
        <w:tc>
          <w:tcPr>
            <w:tcW w:w="1134" w:type="dxa"/>
            <w:tcBorders>
              <w:left w:val="single" w:sz="4" w:space="0" w:color="000000"/>
              <w:bottom w:val="single" w:sz="4" w:space="0" w:color="000000"/>
            </w:tcBorders>
          </w:tcPr>
          <w:p w14:paraId="717CFCC2" w14:textId="77777777"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Controlled</w:t>
            </w:r>
          </w:p>
        </w:tc>
        <w:tc>
          <w:tcPr>
            <w:tcW w:w="993" w:type="dxa"/>
            <w:tcBorders>
              <w:left w:val="single" w:sz="4" w:space="0" w:color="000000"/>
              <w:bottom w:val="single" w:sz="4" w:space="0" w:color="000000"/>
            </w:tcBorders>
          </w:tcPr>
          <w:p w14:paraId="62F982E1" w14:textId="544CFD0E" w:rsidR="00053100" w:rsidRPr="00053100" w:rsidRDefault="00053100" w:rsidP="00053100">
            <w:pPr>
              <w:pStyle w:val="ad"/>
              <w:spacing w:line="312" w:lineRule="auto"/>
              <w:jc w:val="both"/>
              <w:rPr>
                <w:rFonts w:ascii="Times New Roman" w:hAnsi="Times New Roman" w:cs="Times New Roman"/>
                <w:sz w:val="22"/>
                <w:szCs w:val="22"/>
                <w:lang w:val="en-US"/>
              </w:rPr>
            </w:pPr>
            <w:r w:rsidRPr="004E0926">
              <w:rPr>
                <w:rFonts w:ascii="Times New Roman" w:hAnsi="Times New Roman" w:cs="Times New Roman"/>
                <w:sz w:val="22"/>
                <w:szCs w:val="22"/>
                <w:lang w:val="en-US"/>
              </w:rPr>
              <w:t>Proved</w:t>
            </w:r>
          </w:p>
        </w:tc>
        <w:tc>
          <w:tcPr>
            <w:tcW w:w="850" w:type="dxa"/>
            <w:tcBorders>
              <w:left w:val="single" w:sz="4" w:space="0" w:color="000000"/>
              <w:bottom w:val="single" w:sz="4" w:space="0" w:color="000000"/>
            </w:tcBorders>
          </w:tcPr>
          <w:p w14:paraId="4FBF240E" w14:textId="209243F0" w:rsidR="00053100" w:rsidRPr="00053100" w:rsidRDefault="00053100" w:rsidP="00053100">
            <w:pPr>
              <w:pStyle w:val="ad"/>
              <w:spacing w:line="312" w:lineRule="auto"/>
              <w:jc w:val="both"/>
              <w:rPr>
                <w:rFonts w:ascii="Times New Roman" w:hAnsi="Times New Roman" w:cs="Times New Roman"/>
                <w:sz w:val="22"/>
                <w:szCs w:val="22"/>
                <w:lang w:val="en-US"/>
              </w:rPr>
            </w:pPr>
            <w:r w:rsidRPr="00053100">
              <w:rPr>
                <w:rFonts w:ascii="Times New Roman" w:hAnsi="Times New Roman" w:cs="Times New Roman"/>
                <w:sz w:val="22"/>
                <w:szCs w:val="22"/>
                <w:lang w:val="en-US"/>
              </w:rPr>
              <w:t>China</w:t>
            </w:r>
          </w:p>
        </w:tc>
        <w:tc>
          <w:tcPr>
            <w:tcW w:w="2469" w:type="dxa"/>
            <w:tcBorders>
              <w:left w:val="single" w:sz="4" w:space="0" w:color="000000"/>
              <w:bottom w:val="single" w:sz="4" w:space="0" w:color="000000"/>
              <w:right w:val="single" w:sz="4" w:space="0" w:color="000000"/>
            </w:tcBorders>
          </w:tcPr>
          <w:p w14:paraId="72D709C5" w14:textId="4CBF8DEF" w:rsidR="00053100" w:rsidRPr="00053100" w:rsidRDefault="00B7109B" w:rsidP="00053100">
            <w:pPr>
              <w:pStyle w:val="ad"/>
              <w:spacing w:line="312" w:lineRule="auto"/>
              <w:jc w:val="both"/>
              <w:rPr>
                <w:rFonts w:ascii="Times New Roman" w:hAnsi="Times New Roman" w:cs="Times New Roman"/>
                <w:sz w:val="22"/>
                <w:szCs w:val="22"/>
                <w:lang w:val="en-US"/>
              </w:rPr>
            </w:pPr>
            <w:r>
              <w:rPr>
                <w:rFonts w:ascii="Times New Roman" w:hAnsi="Times New Roman" w:cs="Times New Roman"/>
                <w:sz w:val="22"/>
                <w:szCs w:val="22"/>
                <w:lang w:val="en-US"/>
              </w:rPr>
              <w:fldChar w:fldCharType="begin" w:fldLock="1"/>
            </w:r>
            <w:r>
              <w:rPr>
                <w:rFonts w:ascii="Times New Roman" w:hAnsi="Times New Roman" w:cs="Times New Roman"/>
                <w:sz w:val="22"/>
                <w:szCs w:val="22"/>
                <w:lang w:val="en-US"/>
              </w:rPr>
              <w:instrText>ADDIN CSL_CITATION {"citationItems":[{"id":"ITEM-1","itemData":{"DOI":"10.1530/REP-16-0574","ISSN":"1741-7899","PMID":"28283674","abstract":"The endometrium becomes receptive to the embryo only in the mid-luteal phase, but not in the other stages of the menstrual cycle. Endometrial factors play an important role in implantation. Women with recurrent miscarriage and recurrent implantation failure have both been reported to have altered expression of receptivity markers during the window of implantation. We aimed to compare the gene expression profiles of the endometrium in the window of implantation among women with unexplained recurrent implantation failures (RIF) and unexplained recurrent miscarriages (RM) by RNA sequencing (RNA-Seq). In total 20 patients (9 RIF and 11 RM) were recruited. In addition 4 fertile subjects were included as reference. Endometrium samples were precisely timed on the 7th day after luteal hormone surge (LH + 7). All the 24 endometrium samples were extracted for total RNA. The transcriptome was determined by RNA-Seq in the first 14 RNA samples (5 RIF, 6 RM and 3 fertile). Differentially expressed genes between RM and RIF were validated by quantitative real-time PCR (qPCR) in all 24 RNA samples (9 RIF, 11 RM and 4 fertile). Transcriptomic profiles of RM and RIF, but not control samples, were separated from each other by principle component analysis (PCA) and support vector machine (SVM). Complementary and coagulation cascades pathway was significantly up-regulated in RIF while down-regulated in RM. Differentially expressed genes C3, C4, C4BP, DAF, DF and SERPING1 in complement and coagulation cascade pathway between RM and RIF were further validated by qPCR. This study compared endometrial transcriptome among patients with RIF and RM in the window of implantation; it identified differential molecular pathways in endometrium between RIF and RM, which potentially affect the implantation process.","author":[{"dropping-particle":"","family":"Huang","given":"Jin","non-dropping-particle":"","parse-names":false,"suffix":""},{"dropping-particle":"","family":"Qin","given":"Hao","non-dropping-particle":"","parse-names":false,"suffix":""},{"dropping-particle":"","family":"Yang","given":"Yihua","non-dropping-particle":"","parse-names":false,"suffix":""},{"dropping-particle":"","family":"Chen","given":"Xiaoyan","non-dropping-particle":"","parse-names":false,"suffix":""},{"dropping-particle":"","family":"Zhang","given":"Jiamiao","non-dropping-particle":"","parse-names":false,"suffix":""},{"dropping-particle":"","family":"Laird","given":"Susan","non-dropping-particle":"","parse-names":false,"suffix":""},{"dropping-particle":"","family":"Wang","given":"Chi Chiu","non-dropping-particle":"","parse-names":false,"suffix":""},{"dropping-particle":"","family":"Chan","given":"Ting Fung","non-dropping-particle":"","parse-names":false,"suffix":""},{"dropping-particle":"","family":"Li","given":"Tin Chiu","non-dropping-particle":"","parse-names":false,"suffix":""}],"container-title":"Reproduction (Cambridge, England)","id":"ITEM-1","issue":"6","issued":{"date-parts":[["2017"]]},"page":"749-758","publisher":"Reproduction","title":"A comparison of transcriptomic profiles in endometrium during window of implantation between women with unexplained recurrent implantation failure and recurrent miscarriage","type":"article-journal","volume":"153"},"uris":["http://www.mendeley.com/documents/?uuid=fca5f699-a3e9-3438-8584-eb0752a08893"]}],"mendeley":{"formattedCitation":"(Huang &lt;i&gt;et al.&lt;/i&gt;, 2017)","plainTextFormattedCitation":"(Huang et al., 2017)","previouslyFormattedCitation":"(Huang &lt;i&gt;et al.&lt;/i&gt;, 2017)"},"properties":{"noteIndex":0},"schema":"https://github.com/citation-style-language/schema/raw/master/csl-citation.json"}</w:instrText>
            </w:r>
            <w:r>
              <w:rPr>
                <w:rFonts w:ascii="Times New Roman" w:hAnsi="Times New Roman" w:cs="Times New Roman"/>
                <w:sz w:val="22"/>
                <w:szCs w:val="22"/>
                <w:lang w:val="en-US"/>
              </w:rPr>
              <w:fldChar w:fldCharType="separate"/>
            </w:r>
            <w:r w:rsidRPr="00B7109B">
              <w:rPr>
                <w:rFonts w:ascii="Times New Roman" w:hAnsi="Times New Roman" w:cs="Times New Roman"/>
                <w:noProof/>
                <w:sz w:val="22"/>
                <w:szCs w:val="22"/>
                <w:lang w:val="en-US"/>
              </w:rPr>
              <w:t xml:space="preserve">(Huang </w:t>
            </w:r>
            <w:r w:rsidRPr="00B7109B">
              <w:rPr>
                <w:rFonts w:ascii="Times New Roman" w:hAnsi="Times New Roman" w:cs="Times New Roman"/>
                <w:i/>
                <w:noProof/>
                <w:sz w:val="22"/>
                <w:szCs w:val="22"/>
                <w:lang w:val="en-US"/>
              </w:rPr>
              <w:t>et al.</w:t>
            </w:r>
            <w:r w:rsidRPr="00B7109B">
              <w:rPr>
                <w:rFonts w:ascii="Times New Roman" w:hAnsi="Times New Roman" w:cs="Times New Roman"/>
                <w:noProof/>
                <w:sz w:val="22"/>
                <w:szCs w:val="22"/>
                <w:lang w:val="en-US"/>
              </w:rPr>
              <w:t>, 2017)</w:t>
            </w:r>
            <w:r>
              <w:rPr>
                <w:rFonts w:ascii="Times New Roman" w:hAnsi="Times New Roman" w:cs="Times New Roman"/>
                <w:sz w:val="22"/>
                <w:szCs w:val="22"/>
                <w:lang w:val="en-US"/>
              </w:rPr>
              <w:fldChar w:fldCharType="end"/>
            </w:r>
          </w:p>
        </w:tc>
      </w:tr>
    </w:tbl>
    <w:p w14:paraId="38CD189A" w14:textId="41F20CD7" w:rsidR="0094102D" w:rsidRPr="0051573A" w:rsidRDefault="0051573A" w:rsidP="00254B95">
      <w:pPr>
        <w:spacing w:before="170" w:after="170" w:line="360" w:lineRule="auto"/>
        <w:jc w:val="both"/>
        <w:rPr>
          <w:rFonts w:ascii="Times New Roman" w:hAnsi="Times New Roman" w:cs="Times New Roman"/>
          <w:b/>
          <w:bCs/>
          <w:lang w:val="en-US"/>
        </w:rPr>
      </w:pPr>
      <w:r>
        <w:rPr>
          <w:rFonts w:ascii="Times New Roman" w:hAnsi="Times New Roman" w:cs="Times New Roman"/>
          <w:lang w:val="en-US"/>
        </w:rPr>
        <w:t xml:space="preserve">LH – </w:t>
      </w:r>
      <w:r w:rsidR="00BA2275">
        <w:rPr>
          <w:rFonts w:ascii="Times New Roman" w:hAnsi="Times New Roman" w:cs="Times New Roman"/>
          <w:lang w:val="en-US"/>
        </w:rPr>
        <w:t>luteinizing hormone, MS – mid secretory phase, LS – late secretory phase.</w:t>
      </w:r>
    </w:p>
    <w:sectPr w:rsidR="0094102D" w:rsidRPr="0051573A">
      <w:pgSz w:w="16838" w:h="11906" w:orient="landscape"/>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04D09"/>
    <w:multiLevelType w:val="hybridMultilevel"/>
    <w:tmpl w:val="9322F3BC"/>
    <w:lvl w:ilvl="0" w:tplc="0419000F">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D7503CB"/>
    <w:multiLevelType w:val="hybridMultilevel"/>
    <w:tmpl w:val="5C4AF2D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ED7457B"/>
    <w:multiLevelType w:val="multilevel"/>
    <w:tmpl w:val="7EC6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175E3"/>
    <w:multiLevelType w:val="multilevel"/>
    <w:tmpl w:val="97EE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603A1"/>
    <w:multiLevelType w:val="hybridMultilevel"/>
    <w:tmpl w:val="9322F3BC"/>
    <w:lvl w:ilvl="0" w:tplc="0419000F">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52485AD3"/>
    <w:multiLevelType w:val="hybridMultilevel"/>
    <w:tmpl w:val="CAF24EC8"/>
    <w:lvl w:ilvl="0" w:tplc="ABD205FA">
      <w:start w:val="1"/>
      <w:numFmt w:val="upperLetter"/>
      <w:lvlText w:val="(%1)"/>
      <w:lvlJc w:val="left"/>
      <w:pPr>
        <w:ind w:left="744" w:hanging="3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3CC78C5"/>
    <w:multiLevelType w:val="multilevel"/>
    <w:tmpl w:val="F21CB6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695C3601"/>
    <w:multiLevelType w:val="multilevel"/>
    <w:tmpl w:val="22CC40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63073A5"/>
    <w:multiLevelType w:val="multilevel"/>
    <w:tmpl w:val="C3B0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8"/>
  </w:num>
  <w:num w:numId="4">
    <w:abstractNumId w:val="3"/>
  </w:num>
  <w:num w:numId="5">
    <w:abstractNumId w:val="2"/>
  </w:num>
  <w:num w:numId="6">
    <w:abstractNumId w:val="1"/>
  </w:num>
  <w:num w:numId="7">
    <w:abstractNumId w:val="4"/>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02D"/>
    <w:rsid w:val="00036AB2"/>
    <w:rsid w:val="00053100"/>
    <w:rsid w:val="00084646"/>
    <w:rsid w:val="000B6477"/>
    <w:rsid w:val="000E7675"/>
    <w:rsid w:val="000F2E2B"/>
    <w:rsid w:val="000F5990"/>
    <w:rsid w:val="00102E22"/>
    <w:rsid w:val="00117DE7"/>
    <w:rsid w:val="001D7B40"/>
    <w:rsid w:val="00212D4D"/>
    <w:rsid w:val="002247E3"/>
    <w:rsid w:val="00254B95"/>
    <w:rsid w:val="00271F9B"/>
    <w:rsid w:val="002818DD"/>
    <w:rsid w:val="002A3378"/>
    <w:rsid w:val="00322B17"/>
    <w:rsid w:val="003443DE"/>
    <w:rsid w:val="003454AA"/>
    <w:rsid w:val="00362CF6"/>
    <w:rsid w:val="00382F0E"/>
    <w:rsid w:val="0043145D"/>
    <w:rsid w:val="00471B1E"/>
    <w:rsid w:val="004C2E64"/>
    <w:rsid w:val="004D471F"/>
    <w:rsid w:val="005100E8"/>
    <w:rsid w:val="0051573A"/>
    <w:rsid w:val="00527CD1"/>
    <w:rsid w:val="005672A5"/>
    <w:rsid w:val="00582AD0"/>
    <w:rsid w:val="00592B4A"/>
    <w:rsid w:val="005D4B00"/>
    <w:rsid w:val="005E16BC"/>
    <w:rsid w:val="005E73BA"/>
    <w:rsid w:val="00612905"/>
    <w:rsid w:val="006257BA"/>
    <w:rsid w:val="006463D2"/>
    <w:rsid w:val="00651AD8"/>
    <w:rsid w:val="00665D47"/>
    <w:rsid w:val="00667663"/>
    <w:rsid w:val="006B0209"/>
    <w:rsid w:val="0073338F"/>
    <w:rsid w:val="00735E67"/>
    <w:rsid w:val="00810EDD"/>
    <w:rsid w:val="008176C0"/>
    <w:rsid w:val="008213A1"/>
    <w:rsid w:val="00843D95"/>
    <w:rsid w:val="0085492A"/>
    <w:rsid w:val="00875C2D"/>
    <w:rsid w:val="0088696C"/>
    <w:rsid w:val="008B2626"/>
    <w:rsid w:val="008C4104"/>
    <w:rsid w:val="008F75FF"/>
    <w:rsid w:val="00904CE8"/>
    <w:rsid w:val="00925FF4"/>
    <w:rsid w:val="0094102D"/>
    <w:rsid w:val="00942E05"/>
    <w:rsid w:val="009526E3"/>
    <w:rsid w:val="00956804"/>
    <w:rsid w:val="00967ADF"/>
    <w:rsid w:val="0097473F"/>
    <w:rsid w:val="00A17364"/>
    <w:rsid w:val="00A302E8"/>
    <w:rsid w:val="00A8249D"/>
    <w:rsid w:val="00AA2547"/>
    <w:rsid w:val="00AA7FB9"/>
    <w:rsid w:val="00AB5760"/>
    <w:rsid w:val="00AC6EDE"/>
    <w:rsid w:val="00B7109B"/>
    <w:rsid w:val="00BA2275"/>
    <w:rsid w:val="00BC3BB2"/>
    <w:rsid w:val="00C36CDB"/>
    <w:rsid w:val="00CC02D4"/>
    <w:rsid w:val="00CD4495"/>
    <w:rsid w:val="00D00E76"/>
    <w:rsid w:val="00D07300"/>
    <w:rsid w:val="00D47DE1"/>
    <w:rsid w:val="00DE65F2"/>
    <w:rsid w:val="00E013D7"/>
    <w:rsid w:val="00E54F52"/>
    <w:rsid w:val="00F13D22"/>
    <w:rsid w:val="00F3449C"/>
    <w:rsid w:val="00F80DEF"/>
    <w:rsid w:val="00F87114"/>
    <w:rsid w:val="00F90253"/>
    <w:rsid w:val="00F92577"/>
    <w:rsid w:val="00F95299"/>
    <w:rsid w:val="00FC4899"/>
    <w:rsid w:val="00FF543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54B5"/>
  <w15:docId w15:val="{237777A5-743E-4713-B3B8-B2D16676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имвол концевой сноски"/>
    <w:qFormat/>
    <w:rPr>
      <w:vertAlign w:val="superscript"/>
    </w:rPr>
  </w:style>
  <w:style w:type="character" w:styleId="a4">
    <w:name w:val="endnote reference"/>
    <w:rPr>
      <w:vertAlign w:val="superscript"/>
    </w:rPr>
  </w:style>
  <w:style w:type="character" w:styleId="a5">
    <w:name w:val="Hyperlink"/>
    <w:rPr>
      <w:color w:val="000080"/>
      <w:u w:val="single"/>
    </w:rPr>
  </w:style>
  <w:style w:type="character" w:customStyle="1" w:styleId="a6">
    <w:name w:val="Символ нумерации"/>
    <w:qFormat/>
  </w:style>
  <w:style w:type="paragraph" w:styleId="a7">
    <w:name w:val="Title"/>
    <w:basedOn w:val="a"/>
    <w:next w:val="a8"/>
    <w:uiPriority w:val="10"/>
    <w:qFormat/>
    <w:pPr>
      <w:keepNext/>
      <w:spacing w:before="240" w:after="120"/>
    </w:pPr>
    <w:rPr>
      <w:rFonts w:ascii="Liberation Sans" w:eastAsia="Noto Sans CJK SC" w:hAnsi="Liberation Sans"/>
      <w:sz w:val="28"/>
      <w:szCs w:val="28"/>
    </w:rPr>
  </w:style>
  <w:style w:type="paragraph" w:styleId="a8">
    <w:name w:val="Body Text"/>
    <w:basedOn w:val="a"/>
    <w:pPr>
      <w:spacing w:after="140" w:line="276" w:lineRule="auto"/>
    </w:pPr>
  </w:style>
  <w:style w:type="paragraph" w:styleId="a9">
    <w:name w:val="List"/>
    <w:basedOn w:val="a8"/>
  </w:style>
  <w:style w:type="paragraph" w:styleId="aa">
    <w:name w:val="caption"/>
    <w:basedOn w:val="a"/>
    <w:qFormat/>
    <w:pPr>
      <w:suppressLineNumbers/>
      <w:spacing w:before="120" w:after="120"/>
    </w:pPr>
    <w:rPr>
      <w:i/>
      <w:iCs/>
    </w:rPr>
  </w:style>
  <w:style w:type="paragraph" w:styleId="ab">
    <w:name w:val="index heading"/>
    <w:basedOn w:val="a"/>
    <w:qFormat/>
    <w:pPr>
      <w:suppressLineNumbers/>
    </w:pPr>
  </w:style>
  <w:style w:type="paragraph" w:styleId="ac">
    <w:name w:val="endnote text"/>
    <w:basedOn w:val="a"/>
    <w:pPr>
      <w:suppressLineNumbers/>
      <w:ind w:left="340" w:hanging="340"/>
    </w:pPr>
    <w:rPr>
      <w:sz w:val="20"/>
      <w:szCs w:val="20"/>
    </w:rPr>
  </w:style>
  <w:style w:type="paragraph" w:customStyle="1" w:styleId="ad">
    <w:name w:val="Содержимое таблицы"/>
    <w:basedOn w:val="a"/>
    <w:qFormat/>
    <w:pPr>
      <w:widowControl w:val="0"/>
      <w:suppressLineNumbers/>
    </w:pPr>
  </w:style>
  <w:style w:type="paragraph" w:customStyle="1" w:styleId="ae">
    <w:name w:val="Заголовок таблицы"/>
    <w:basedOn w:val="ad"/>
    <w:qFormat/>
    <w:pPr>
      <w:jc w:val="center"/>
    </w:pPr>
    <w:rPr>
      <w:b/>
      <w:bCs/>
    </w:rPr>
  </w:style>
  <w:style w:type="character" w:customStyle="1" w:styleId="authors">
    <w:name w:val="authors"/>
    <w:basedOn w:val="a0"/>
    <w:rsid w:val="00117DE7"/>
  </w:style>
  <w:style w:type="character" w:customStyle="1" w:styleId="1">
    <w:name w:val="Заголовок1"/>
    <w:basedOn w:val="a0"/>
    <w:rsid w:val="00117DE7"/>
  </w:style>
  <w:style w:type="character" w:customStyle="1" w:styleId="source">
    <w:name w:val="source"/>
    <w:basedOn w:val="a0"/>
    <w:rsid w:val="00117DE7"/>
  </w:style>
  <w:style w:type="character" w:styleId="af">
    <w:name w:val="Unresolved Mention"/>
    <w:basedOn w:val="a0"/>
    <w:uiPriority w:val="99"/>
    <w:semiHidden/>
    <w:unhideWhenUsed/>
    <w:rsid w:val="00DE65F2"/>
    <w:rPr>
      <w:color w:val="605E5C"/>
      <w:shd w:val="clear" w:color="auto" w:fill="E1DFDD"/>
    </w:rPr>
  </w:style>
  <w:style w:type="paragraph" w:styleId="af0">
    <w:name w:val="List Paragraph"/>
    <w:basedOn w:val="a"/>
    <w:uiPriority w:val="34"/>
    <w:qFormat/>
    <w:rsid w:val="003454AA"/>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069177">
      <w:bodyDiv w:val="1"/>
      <w:marLeft w:val="0"/>
      <w:marRight w:val="0"/>
      <w:marTop w:val="0"/>
      <w:marBottom w:val="0"/>
      <w:divBdr>
        <w:top w:val="none" w:sz="0" w:space="0" w:color="auto"/>
        <w:left w:val="none" w:sz="0" w:space="0" w:color="auto"/>
        <w:bottom w:val="none" w:sz="0" w:space="0" w:color="auto"/>
        <w:right w:val="none" w:sz="0" w:space="0" w:color="auto"/>
      </w:divBdr>
    </w:div>
    <w:div w:id="1870415907">
      <w:bodyDiv w:val="1"/>
      <w:marLeft w:val="0"/>
      <w:marRight w:val="0"/>
      <w:marTop w:val="0"/>
      <w:marBottom w:val="0"/>
      <w:divBdr>
        <w:top w:val="none" w:sz="0" w:space="0" w:color="auto"/>
        <w:left w:val="none" w:sz="0" w:space="0" w:color="auto"/>
        <w:bottom w:val="none" w:sz="0" w:space="0" w:color="auto"/>
        <w:right w:val="none" w:sz="0" w:space="0" w:color="auto"/>
      </w:divBdr>
    </w:div>
    <w:div w:id="2089616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CF6C4-B559-4052-9F2E-46F3F8AFB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708</TotalTime>
  <Pages>2</Pages>
  <Words>16316</Words>
  <Characters>93005</Characters>
  <Application>Microsoft Office Word</Application>
  <DocSecurity>0</DocSecurity>
  <Lines>775</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pd</cp:lastModifiedBy>
  <cp:revision>51</cp:revision>
  <dcterms:created xsi:type="dcterms:W3CDTF">2025-05-10T07:10:00Z</dcterms:created>
  <dcterms:modified xsi:type="dcterms:W3CDTF">2026-01-13T13:19:00Z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2025-04-24T13:34:57Z</dcterms:created>
  <dc:creator/>
  <dc:description/>
  <dc:language>ru-RU</dc:language>
  <cp:lastModifiedBy/>
  <dcterms:modified xsi:type="dcterms:W3CDTF">2025-04-25T12:42:25Z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18th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http://www.zotero.org/styles/human-reproduction</vt:lpwstr>
  </property>
  <property fmtid="{D5CDD505-2E9C-101B-9397-08002B2CF9AE}" pid="13" name="Mendeley Recent Style Name 5_1">
    <vt:lpwstr>Human Reproduction</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b2e90bad-f811-3001-a88d-daf05d4bbeb4</vt:lpwstr>
  </property>
  <property fmtid="{D5CDD505-2E9C-101B-9397-08002B2CF9AE}" pid="24" name="Mendeley Citation Style_1">
    <vt:lpwstr>http://www.zotero.org/styles/human-reproduction</vt:lpwstr>
  </property>
</Properties>
</file>