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57" w:after="57"/>
        <w:jc w:val="center"/>
        <w:rPr>
          <w:rFonts w:ascii="Times New Roman" w:hAnsi="Times New Roman" w:cs="Times New Roman"/>
          <w:b/>
          <w:bCs/>
          <w:lang w:val="en-US"/>
        </w:rPr>
      </w:pPr>
      <w:r>
        <w:rPr>
          <w:rFonts w:cs="Times New Roman" w:ascii="Times New Roman" w:hAnsi="Times New Roman"/>
          <w:b/>
          <w:bCs/>
          <w:lang w:val="en-US"/>
        </w:rPr>
        <w:t>Modelling menstrual cycle progression reveals the absence of a specific transcriptomic signature for recurrent implantation failure</w:t>
      </w:r>
    </w:p>
    <w:p>
      <w:pPr>
        <w:pStyle w:val="Normal"/>
        <w:spacing w:lineRule="auto" w:line="360" w:before="57" w:after="57"/>
        <w:jc w:val="center"/>
        <w:rPr>
          <w:rFonts w:ascii="Times New Roman" w:hAnsi="Times New Roman" w:cs="Times New Roman"/>
          <w:lang w:val="en-US"/>
        </w:rPr>
      </w:pPr>
      <w:r>
        <w:rPr>
          <w:rFonts w:cs="Times New Roman" w:ascii="Times New Roman" w:hAnsi="Times New Roman"/>
          <w:lang w:val="en-US"/>
        </w:rPr>
        <w:t>by P.I. Deryabin and A.V. Borodkina</w:t>
      </w:r>
    </w:p>
    <w:p>
      <w:pPr>
        <w:pStyle w:val="Normal"/>
        <w:spacing w:lineRule="auto" w:line="360" w:before="57" w:after="57"/>
        <w:jc w:val="both"/>
        <w:rPr>
          <w:rFonts w:ascii="Times New Roman" w:hAnsi="Times New Roman" w:cs="Times New Roman"/>
          <w:b/>
          <w:bCs/>
          <w:lang w:val="en-US"/>
        </w:rPr>
      </w:pPr>
      <w:r>
        <w:rPr>
          <w:rFonts w:cs="Times New Roman" w:ascii="Times New Roman" w:hAnsi="Times New Roman"/>
          <w:b/>
          <w:bCs/>
          <w:lang w:val="en-US"/>
        </w:rPr>
      </w:r>
    </w:p>
    <w:p>
      <w:pPr>
        <w:pStyle w:val="Normal"/>
        <w:spacing w:lineRule="auto" w:line="360" w:before="57" w:after="57"/>
        <w:jc w:val="both"/>
        <w:rPr>
          <w:rFonts w:ascii="Times New Roman" w:hAnsi="Times New Roman" w:cs="Times New Roman"/>
          <w:lang w:val="en-US"/>
        </w:rPr>
      </w:pPr>
      <w:r>
        <w:rPr>
          <w:rFonts w:cs="Times New Roman" w:ascii="Times New Roman" w:hAnsi="Times New Roman"/>
          <w:b/>
          <w:bCs/>
          <w:lang w:val="en-US"/>
        </w:rPr>
        <w:t>Table 1.</w:t>
      </w:r>
      <w:r>
        <w:rPr>
          <w:rFonts w:cs="Times New Roman" w:ascii="Times New Roman" w:hAnsi="Times New Roman"/>
          <w:lang w:val="en-US"/>
        </w:rPr>
        <w:t xml:space="preserve"> Characteristics of datasets collected for the analysis.</w:t>
      </w:r>
    </w:p>
    <w:tbl>
      <w:tblPr>
        <w:tblW w:w="14742" w:type="dxa"/>
        <w:jc w:val="start"/>
        <w:tblInd w:w="-5" w:type="dxa"/>
        <w:tblLayout w:type="fixed"/>
        <w:tblCellMar>
          <w:top w:w="55" w:type="dxa"/>
          <w:start w:w="55" w:type="dxa"/>
          <w:bottom w:w="55" w:type="dxa"/>
          <w:end w:w="55" w:type="dxa"/>
        </w:tblCellMar>
        <w:tblLook w:val="0000" w:noHBand="0" w:noVBand="0" w:firstColumn="0" w:lastRow="0" w:lastColumn="0" w:firstRow="0"/>
      </w:tblPr>
      <w:tblGrid>
        <w:gridCol w:w="1701"/>
        <w:gridCol w:w="992"/>
        <w:gridCol w:w="992"/>
        <w:gridCol w:w="1277"/>
        <w:gridCol w:w="1275"/>
        <w:gridCol w:w="1134"/>
        <w:gridCol w:w="1133"/>
        <w:gridCol w:w="1134"/>
        <w:gridCol w:w="993"/>
        <w:gridCol w:w="1276"/>
        <w:gridCol w:w="2833"/>
      </w:tblGrid>
      <w:tr>
        <w:trPr>
          <w:trHeight w:val="1003" w:hRule="atLeast"/>
        </w:trPr>
        <w:tc>
          <w:tcPr>
            <w:tcW w:w="1701" w:type="dxa"/>
            <w:tcBorders>
              <w:top w:val="single" w:sz="4" w:space="0" w:color="000000"/>
              <w:start w:val="single" w:sz="4" w:space="0" w:color="000000"/>
              <w:bottom w:val="single" w:sz="4" w:space="0" w:color="000000"/>
            </w:tcBorders>
            <w:shd w:color="auto" w:fill="CCCCCC" w:val="clear"/>
          </w:tcPr>
          <w:p>
            <w:pPr>
              <w:pStyle w:val="Style18"/>
              <w:spacing w:lineRule="auto" w:line="312"/>
              <w:jc w:val="both"/>
              <w:rPr>
                <w:rFonts w:ascii="Times New Roman" w:hAnsi="Times New Roman" w:cs="Times New Roman"/>
                <w:sz w:val="22"/>
                <w:szCs w:val="22"/>
              </w:rPr>
            </w:pPr>
            <w:r>
              <w:rPr>
                <w:rFonts w:cs="Times New Roman" w:ascii="Times New Roman" w:hAnsi="Times New Roman"/>
                <w:sz w:val="22"/>
                <w:szCs w:val="22"/>
              </w:rPr>
              <w:t>GEO accession</w:t>
            </w:r>
          </w:p>
        </w:tc>
        <w:tc>
          <w:tcPr>
            <w:tcW w:w="992" w:type="dxa"/>
            <w:tcBorders>
              <w:top w:val="single" w:sz="4" w:space="0" w:color="000000"/>
              <w:start w:val="single" w:sz="4" w:space="0" w:color="000000"/>
              <w:bottom w:val="single" w:sz="4" w:space="0" w:color="000000"/>
            </w:tcBorders>
            <w:shd w:color="auto" w:fill="CCCCCC" w:val="clear"/>
          </w:tcPr>
          <w:p>
            <w:pPr>
              <w:pStyle w:val="Style18"/>
              <w:spacing w:lineRule="auto" w:line="312"/>
              <w:jc w:val="both"/>
              <w:rPr>
                <w:rFonts w:ascii="Times New Roman" w:hAnsi="Times New Roman" w:cs="Times New Roman"/>
                <w:sz w:val="22"/>
                <w:szCs w:val="22"/>
                <w:lang w:val="en-US"/>
              </w:rPr>
            </w:pPr>
            <w:r>
              <w:rPr>
                <w:rFonts w:cs="Times New Roman" w:ascii="Times New Roman" w:hAnsi="Times New Roman"/>
                <w:sz w:val="22"/>
                <w:szCs w:val="22"/>
                <w:lang w:val="en-US"/>
              </w:rPr>
              <w:t>S</w:t>
            </w:r>
            <w:r>
              <w:rPr>
                <w:rFonts w:cs="Times New Roman" w:ascii="Times New Roman" w:hAnsi="Times New Roman"/>
                <w:sz w:val="22"/>
                <w:szCs w:val="22"/>
              </w:rPr>
              <w:t>amples</w:t>
            </w:r>
            <w:r>
              <w:rPr>
                <w:rFonts w:cs="Times New Roman" w:ascii="Times New Roman" w:hAnsi="Times New Roman"/>
                <w:sz w:val="22"/>
                <w:szCs w:val="22"/>
                <w:lang w:val="en-US"/>
              </w:rPr>
              <w:t xml:space="preserve"> type</w:t>
            </w:r>
          </w:p>
        </w:tc>
        <w:tc>
          <w:tcPr>
            <w:tcW w:w="992" w:type="dxa"/>
            <w:tcBorders>
              <w:top w:val="single" w:sz="4" w:space="0" w:color="000000"/>
              <w:start w:val="single" w:sz="4" w:space="0" w:color="000000"/>
              <w:bottom w:val="single" w:sz="4" w:space="0" w:color="000000"/>
            </w:tcBorders>
            <w:shd w:color="auto" w:fill="CCCCCC" w:val="clear"/>
          </w:tcPr>
          <w:p>
            <w:pPr>
              <w:pStyle w:val="Style18"/>
              <w:spacing w:lineRule="auto" w:line="312"/>
              <w:jc w:val="both"/>
              <w:rPr>
                <w:rFonts w:ascii="Times New Roman" w:hAnsi="Times New Roman" w:cs="Times New Roman"/>
                <w:sz w:val="22"/>
                <w:szCs w:val="22"/>
              </w:rPr>
            </w:pPr>
            <w:r>
              <w:rPr>
                <w:rFonts w:cs="Times New Roman" w:ascii="Times New Roman" w:hAnsi="Times New Roman"/>
                <w:sz w:val="22"/>
                <w:szCs w:val="22"/>
              </w:rPr>
              <w:t>Platform</w:t>
            </w:r>
          </w:p>
        </w:tc>
        <w:tc>
          <w:tcPr>
            <w:tcW w:w="1277" w:type="dxa"/>
            <w:tcBorders>
              <w:top w:val="single" w:sz="4" w:space="0" w:color="000000"/>
              <w:start w:val="single" w:sz="4" w:space="0" w:color="000000"/>
              <w:bottom w:val="single" w:sz="4" w:space="0" w:color="000000"/>
            </w:tcBorders>
            <w:shd w:color="auto" w:fill="CCCCCC" w:val="clear"/>
          </w:tcPr>
          <w:p>
            <w:pPr>
              <w:pStyle w:val="Style18"/>
              <w:spacing w:lineRule="auto" w:line="312"/>
              <w:jc w:val="both"/>
              <w:rPr>
                <w:rFonts w:ascii="Times New Roman" w:hAnsi="Times New Roman" w:cs="Times New Roman"/>
                <w:sz w:val="22"/>
                <w:szCs w:val="22"/>
                <w:lang w:val="en-US"/>
              </w:rPr>
            </w:pPr>
            <w:r>
              <w:rPr>
                <w:rFonts w:cs="Times New Roman" w:ascii="Times New Roman" w:hAnsi="Times New Roman"/>
                <w:sz w:val="22"/>
                <w:szCs w:val="22"/>
                <w:lang w:val="en-US"/>
              </w:rPr>
              <w:t>Number of samples per group</w:t>
            </w:r>
          </w:p>
        </w:tc>
        <w:tc>
          <w:tcPr>
            <w:tcW w:w="1275" w:type="dxa"/>
            <w:tcBorders>
              <w:top w:val="single" w:sz="4" w:space="0" w:color="000000"/>
              <w:start w:val="single" w:sz="4" w:space="0" w:color="000000"/>
              <w:bottom w:val="single" w:sz="4" w:space="0" w:color="000000"/>
              <w:end w:val="single" w:sz="4" w:space="0" w:color="000000"/>
            </w:tcBorders>
            <w:shd w:color="auto" w:fill="CCCCCC" w:val="clear"/>
          </w:tcPr>
          <w:p>
            <w:pPr>
              <w:pStyle w:val="Style18"/>
              <w:spacing w:lineRule="auto" w:line="312"/>
              <w:jc w:val="both"/>
              <w:rPr>
                <w:rFonts w:ascii="Times New Roman" w:hAnsi="Times New Roman" w:cs="Times New Roman"/>
                <w:sz w:val="22"/>
                <w:szCs w:val="22"/>
                <w:lang w:val="en-US"/>
              </w:rPr>
            </w:pPr>
            <w:r>
              <w:rPr>
                <w:rFonts w:cs="Times New Roman" w:ascii="Times New Roman" w:hAnsi="Times New Roman"/>
                <w:sz w:val="22"/>
                <w:szCs w:val="22"/>
                <w:lang w:val="en-US"/>
              </w:rPr>
              <w:t>RIF definition</w:t>
            </w:r>
          </w:p>
        </w:tc>
        <w:tc>
          <w:tcPr>
            <w:tcW w:w="1134" w:type="dxa"/>
            <w:tcBorders>
              <w:top w:val="single" w:sz="4" w:space="0" w:color="000000"/>
              <w:start w:val="single" w:sz="4" w:space="0" w:color="000000"/>
              <w:bottom w:val="single" w:sz="4" w:space="0" w:color="000000"/>
            </w:tcBorders>
            <w:shd w:color="auto" w:fill="CCCCCC" w:val="clear"/>
          </w:tcPr>
          <w:p>
            <w:pPr>
              <w:pStyle w:val="Style18"/>
              <w:spacing w:lineRule="auto" w:line="312"/>
              <w:jc w:val="both"/>
              <w:rPr>
                <w:rFonts w:ascii="Times New Roman" w:hAnsi="Times New Roman" w:cs="Times New Roman"/>
                <w:sz w:val="22"/>
                <w:szCs w:val="22"/>
                <w:lang w:val="en-US"/>
              </w:rPr>
            </w:pPr>
            <w:r>
              <w:rPr>
                <w:rFonts w:cs="Times New Roman" w:ascii="Times New Roman" w:hAnsi="Times New Roman"/>
                <w:sz w:val="22"/>
                <w:szCs w:val="22"/>
              </w:rPr>
              <w:t>Menstrual cycle</w:t>
            </w:r>
            <w:r>
              <w:rPr>
                <w:rFonts w:cs="Times New Roman" w:ascii="Times New Roman" w:hAnsi="Times New Roman"/>
                <w:sz w:val="22"/>
                <w:szCs w:val="22"/>
                <w:lang w:val="en-US"/>
              </w:rPr>
              <w:t xml:space="preserve"> regime</w:t>
            </w:r>
          </w:p>
        </w:tc>
        <w:tc>
          <w:tcPr>
            <w:tcW w:w="1133" w:type="dxa"/>
            <w:tcBorders>
              <w:top w:val="single" w:sz="4" w:space="0" w:color="000000"/>
              <w:start w:val="single" w:sz="4" w:space="0" w:color="000000"/>
              <w:bottom w:val="single" w:sz="4" w:space="0" w:color="000000"/>
            </w:tcBorders>
            <w:shd w:color="auto" w:fill="CCCCCC" w:val="clear"/>
          </w:tcPr>
          <w:p>
            <w:pPr>
              <w:pStyle w:val="Style18"/>
              <w:spacing w:lineRule="auto" w:line="312"/>
              <w:jc w:val="both"/>
              <w:rPr>
                <w:rFonts w:ascii="Times New Roman" w:hAnsi="Times New Roman" w:cs="Times New Roman"/>
                <w:sz w:val="22"/>
                <w:szCs w:val="22"/>
              </w:rPr>
            </w:pPr>
            <w:r>
              <w:rPr>
                <w:rFonts w:cs="Times New Roman" w:ascii="Times New Roman" w:hAnsi="Times New Roman"/>
                <w:sz w:val="22"/>
                <w:szCs w:val="22"/>
              </w:rPr>
              <w:t>Menstrual cycle point</w:t>
            </w:r>
          </w:p>
        </w:tc>
        <w:tc>
          <w:tcPr>
            <w:tcW w:w="1134" w:type="dxa"/>
            <w:tcBorders>
              <w:top w:val="single" w:sz="4" w:space="0" w:color="000000"/>
              <w:start w:val="single" w:sz="4" w:space="0" w:color="000000"/>
              <w:bottom w:val="single" w:sz="4" w:space="0" w:color="000000"/>
            </w:tcBorders>
            <w:shd w:color="auto" w:fill="CCCCCC" w:val="clear"/>
          </w:tcPr>
          <w:p>
            <w:pPr>
              <w:pStyle w:val="Style18"/>
              <w:spacing w:lineRule="auto" w:line="312"/>
              <w:jc w:val="both"/>
              <w:rPr>
                <w:rFonts w:ascii="Times New Roman" w:hAnsi="Times New Roman" w:cs="Times New Roman"/>
                <w:sz w:val="22"/>
                <w:szCs w:val="22"/>
                <w:lang w:val="en-US"/>
              </w:rPr>
            </w:pPr>
            <w:r>
              <w:rPr>
                <w:rFonts w:cs="Times New Roman" w:ascii="Times New Roman" w:hAnsi="Times New Roman"/>
                <w:sz w:val="22"/>
                <w:szCs w:val="22"/>
              </w:rPr>
              <w:t>Embryo quality</w:t>
            </w:r>
          </w:p>
        </w:tc>
        <w:tc>
          <w:tcPr>
            <w:tcW w:w="993" w:type="dxa"/>
            <w:tcBorders>
              <w:top w:val="single" w:sz="4" w:space="0" w:color="000000"/>
              <w:start w:val="single" w:sz="4" w:space="0" w:color="000000"/>
              <w:bottom w:val="single" w:sz="4" w:space="0" w:color="000000"/>
            </w:tcBorders>
            <w:shd w:color="auto" w:fill="CCCCCC" w:val="clear"/>
          </w:tcPr>
          <w:p>
            <w:pPr>
              <w:pStyle w:val="Style18"/>
              <w:spacing w:lineRule="auto" w:line="312"/>
              <w:jc w:val="both"/>
              <w:rPr>
                <w:rFonts w:ascii="Times New Roman" w:hAnsi="Times New Roman" w:cs="Times New Roman"/>
                <w:sz w:val="22"/>
                <w:szCs w:val="22"/>
                <w:lang w:val="en-US"/>
              </w:rPr>
            </w:pPr>
            <w:r>
              <w:rPr>
                <w:rFonts w:cs="Times New Roman" w:ascii="Times New Roman" w:hAnsi="Times New Roman"/>
                <w:sz w:val="22"/>
                <w:szCs w:val="22"/>
                <w:lang w:val="en-US"/>
              </w:rPr>
              <w:t>Fertility of control group</w:t>
            </w:r>
          </w:p>
        </w:tc>
        <w:tc>
          <w:tcPr>
            <w:tcW w:w="1276" w:type="dxa"/>
            <w:tcBorders>
              <w:top w:val="single" w:sz="4" w:space="0" w:color="000000"/>
              <w:start w:val="single" w:sz="4" w:space="0" w:color="000000"/>
              <w:bottom w:val="single" w:sz="4" w:space="0" w:color="000000"/>
            </w:tcBorders>
            <w:shd w:color="auto" w:fill="CCCCCC" w:val="clear"/>
          </w:tcPr>
          <w:p>
            <w:pPr>
              <w:pStyle w:val="Style18"/>
              <w:spacing w:lineRule="auto" w:line="312"/>
              <w:jc w:val="both"/>
              <w:rPr>
                <w:rFonts w:ascii="Times New Roman" w:hAnsi="Times New Roman" w:cs="Times New Roman"/>
                <w:sz w:val="22"/>
                <w:szCs w:val="22"/>
              </w:rPr>
            </w:pPr>
            <w:r>
              <w:rPr>
                <w:rFonts w:cs="Times New Roman" w:ascii="Times New Roman" w:hAnsi="Times New Roman"/>
                <w:sz w:val="22"/>
                <w:szCs w:val="22"/>
              </w:rPr>
              <w:t>Country</w:t>
            </w:r>
          </w:p>
        </w:tc>
        <w:tc>
          <w:tcPr>
            <w:tcW w:w="2833" w:type="dxa"/>
            <w:tcBorders>
              <w:top w:val="single" w:sz="4" w:space="0" w:color="000000"/>
              <w:start w:val="single" w:sz="4" w:space="0" w:color="000000"/>
              <w:bottom w:val="single" w:sz="4" w:space="0" w:color="000000"/>
              <w:end w:val="single" w:sz="4" w:space="0" w:color="000000"/>
            </w:tcBorders>
            <w:shd w:color="auto" w:fill="CCCCCC" w:val="clear"/>
          </w:tcPr>
          <w:p>
            <w:pPr>
              <w:pStyle w:val="Style18"/>
              <w:spacing w:lineRule="auto" w:line="312"/>
              <w:jc w:val="both"/>
              <w:rPr>
                <w:rFonts w:ascii="Times New Roman" w:hAnsi="Times New Roman" w:cs="Times New Roman"/>
                <w:sz w:val="22"/>
                <w:szCs w:val="22"/>
                <w:lang w:val="en-US"/>
              </w:rPr>
            </w:pPr>
            <w:r>
              <w:rPr>
                <w:rFonts w:cs="Times New Roman" w:ascii="Times New Roman" w:hAnsi="Times New Roman"/>
                <w:sz w:val="22"/>
                <w:szCs w:val="22"/>
              </w:rPr>
              <w:t>Ref</w:t>
            </w:r>
            <w:r>
              <w:rPr>
                <w:rFonts w:cs="Times New Roman" w:ascii="Times New Roman" w:hAnsi="Times New Roman"/>
                <w:sz w:val="22"/>
                <w:szCs w:val="22"/>
                <w:lang w:val="en-US"/>
              </w:rPr>
              <w:t>erence</w:t>
            </w:r>
          </w:p>
        </w:tc>
      </w:tr>
      <w:tr>
        <w:trPr>
          <w:trHeight w:val="250" w:hRule="atLeast"/>
        </w:trPr>
        <w:tc>
          <w:tcPr>
            <w:tcW w:w="1701" w:type="dxa"/>
            <w:tcBorders>
              <w:start w:val="single" w:sz="4" w:space="0" w:color="000000"/>
              <w:bottom w:val="single" w:sz="4" w:space="0" w:color="000000"/>
            </w:tcBorders>
          </w:tcPr>
          <w:p>
            <w:pPr>
              <w:pStyle w:val="Normal"/>
              <w:spacing w:lineRule="auto" w:line="312"/>
              <w:rPr>
                <w:rFonts w:ascii="Times New Roman" w:hAnsi="Times New Roman" w:cs="Times New Roman"/>
                <w:sz w:val="22"/>
                <w:szCs w:val="22"/>
              </w:rPr>
            </w:pPr>
            <w:r>
              <w:rPr>
                <w:rFonts w:cs="Times New Roman" w:ascii="Times New Roman" w:hAnsi="Times New Roman"/>
                <w:sz w:val="22"/>
                <w:szCs w:val="22"/>
              </w:rPr>
              <w:t>GSE103465</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rPr>
            </w:pPr>
            <w:r>
              <w:rPr>
                <w:rFonts w:cs="Times New Roman" w:ascii="Times New Roman" w:hAnsi="Times New Roman"/>
                <w:sz w:val="22"/>
                <w:szCs w:val="22"/>
              </w:rPr>
              <w:t>Bulk</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rPr>
            </w:pPr>
            <w:r>
              <w:rPr>
                <w:rFonts w:cs="Times New Roman" w:ascii="Times New Roman" w:hAnsi="Times New Roman"/>
                <w:sz w:val="22"/>
                <w:szCs w:val="22"/>
              </w:rPr>
              <w:t>Array</w:t>
            </w:r>
          </w:p>
        </w:tc>
        <w:tc>
          <w:tcPr>
            <w:tcW w:w="1277"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rPr>
            </w:pPr>
            <w:r>
              <w:rPr>
                <w:rFonts w:cs="Times New Roman" w:ascii="Times New Roman" w:hAnsi="Times New Roman"/>
                <w:sz w:val="22"/>
                <w:szCs w:val="22"/>
                <w:lang w:val="en-US"/>
              </w:rPr>
              <w:t>Control</w:t>
            </w:r>
            <w:r>
              <w:rPr>
                <w:rFonts w:cs="Times New Roman" w:ascii="Times New Roman" w:hAnsi="Times New Roman"/>
                <w:sz w:val="22"/>
                <w:szCs w:val="22"/>
              </w:rPr>
              <w:t xml:space="preserve"> (3), RIF (3)</w:t>
            </w:r>
          </w:p>
        </w:tc>
        <w:tc>
          <w:tcPr>
            <w:tcW w:w="1275"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(Coughlan </w:t>
              <w:br/>
            </w:r>
            <w:r>
              <w:rPr>
                <w:rFonts w:cs="Times New Roman" w:ascii="Times New Roman" w:hAnsi="Times New Roman"/>
                <w:i/>
                <w:sz w:val="22"/>
                <w:szCs w:val="22"/>
                <w:lang w:val="en-US"/>
              </w:rPr>
              <w:t>et al.</w:t>
            </w:r>
            <w:r>
              <w:rPr>
                <w:rFonts w:cs="Times New Roman" w:ascii="Times New Roman" w:hAnsi="Times New Roman"/>
                <w:sz w:val="22"/>
                <w:szCs w:val="22"/>
                <w:lang w:val="en-US"/>
              </w:rPr>
              <w:t>, 2014)</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Natural</w:t>
            </w:r>
          </w:p>
        </w:tc>
        <w:tc>
          <w:tcPr>
            <w:tcW w:w="113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LH + 7</w:t>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Controlled</w:t>
            </w:r>
          </w:p>
        </w:tc>
        <w:tc>
          <w:tcPr>
            <w:tcW w:w="99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Proved</w:t>
            </w:r>
          </w:p>
        </w:tc>
        <w:tc>
          <w:tcPr>
            <w:tcW w:w="1276"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China</w:t>
            </w:r>
          </w:p>
        </w:tc>
        <w:tc>
          <w:tcPr>
            <w:tcW w:w="2833"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rPr>
              <w:instrText xml:space="preserve">ADDIN CSL_CITATION {"citationItems":[{"id":"ITEM-1","itemData":{"DOI":"10.1093/HUMREP/DEY022","ISSN":"1460-2350","PMID":"29617817","abstract":"Study Question: Is recurrent implantation failure (RIF) associated with decreased expression of platelet and endothelial cell adhesion molecule 1 (PECAM1) and transforming growth factor β1 (TGF-β1) in the endometrium during the implantation window? Summary Answer: The present study demonstrates that the expression of PECAM1 and TGF-β1 is significantly decreased in the mid-secretory endometrium in women with RIF, which may account for embryo implantation failure. What is Known Already: RIF has become a bottleneck issue that hampers the improvement of pregnancy rates in IVF-embryo transfer (IVF-ET). The causes of RIF are complex and may involve the dysregulation of various growth factors, metabolites, and inflammatory cytokines. At present, the precise pathogenesis of RIF has not been elucidated. Study Design, Size, Duration: This was a prospective case-control study. Endometrial tissue samples were obtained from January 2014 to December 2016 from two groups of women who had undergone IVF (RIF group, 22 women who underwent ≥3 ETs including a total of ≥4 good-quality embryos without pregnancy, control group, 18 women who conceived in their first treatment cycle). At the same time, samples were obtained from 18 women with infertility secondary to tubal factor in the early proliferative, late proliferative and mid-secretory phases of the menstrual cycle (n = 6 per group). Samples used for isolation of primary human endometrial epithelial cells and stromal cells (HEECs and HESCs) were collected in December 2017 from six women with infertility secondary to tubal factor. Participants/Materials, Setting, Methods: We investigated gene expression using integrative whole genome expression microarray analysis, including differentially expressed gene screening, principal component analysis, and functional enrichment analysis. RT-qPCR, western blotting, immunohistochemistry, immunofluorescence co-localization analysis and short hairpin RNA (shRNA) plasmid transfection in Ishikawa cell line, HEECs and HESCs were used to investigate the expression of PECAM1 and TGF-β1. Main Results and The Role of Chance: Integrative data mining of whole-genome expression profiles identified cell adhesion as a key regulator in RIF. Database retrieval and literature review screened several novel cell adhesion-related genes that might participate in embryo implantation, which include PECAM1, intercellular adhesion molecule 2 (ICAM2), integrin subunit β2 (ITGB2), selectin P (SELP) and TEK …","author":[{"dropping-particle":"","family":"Guo","given":"Feng","non-dropping-particle":"","parse-names":false,"suffix":""},{"dropping-particle":"","family":"Si","given":"Chenchen","non-dropping-particle":"","parse-names":false,"suffix":""},{"dropping-particle":"","family":"Zhou","given":"Mingjuan","non-dropping-particle":"","parse-names":false,"suffix":""},{"dropping-particle":"","family":"Wang","given":"Jingwen","non-dropping-particle":"","parse-names":false,"suffix":""},{"dropping-particle":"","family":"Zhang","given":"Dan","non-dropping-particle":"","parse-names":false,"suffix":""},{"dropping-particle":"","family":"Leung","given":"Peter C.K.","non-dropping-particle":"","parse-names":false,"suffix":""},{"dropping-particle":"","family":"Xu","given":"Bufang","non-dropping-particle":"","parse-names":false,"suffix":""},{"dropping-particle":"","family":"Zhang","given":"Aijun","non-dropping-particle":"","parse-names":false,"suffix":""}],"container-title":"Human reproduction (Oxford, England)","id":"ITEM-1","issue":"5","issued":{"date-parts":[["2018","5","1"]]},"page":"832-843","publisher":"Hum Reprod","title":"Decreased PECAM1-mediated TGF-β1 expression in the mid-secretory endometrium in women with recurrent implantation failure","type":"article-journal","volume":"33"},"uris":["http://www.mendeley.com/documents/?uuid=372b0f5b-43d4-32f7-bfb4-8ece0b9c6a9b"]}],"mendeley":{"formattedCitation":"(Guo &lt;i&gt;et al.&lt;/i&gt;, 2018)","plainTextFormattedCitation":"(Guo et al., 2018)","previouslyFormattedCitation":"(Guo &lt;i&gt;et al.&lt;/i&gt;, 2018)"},"properties":{"noteIndex":0},"schema":"https://github.com/citation-style-language/schema/raw/master/csl-citation.json"}</w:instrText>
            </w:r>
            <w:r>
              <w:rPr>
                <w:rFonts w:cs="Times New Roman" w:ascii="Times New Roman" w:hAnsi="Times New Roman"/>
                <w:sz w:val="22"/>
                <w:szCs w:val="22"/>
              </w:rPr>
            </w:r>
            <w:r>
              <w:rPr>
                <w:sz w:val="22"/>
                <w:szCs w:val="22"/>
                <w:rFonts w:cs="Times New Roman" w:ascii="Times New Roman" w:hAnsi="Times New Roman"/>
              </w:rPr>
              <w:fldChar w:fldCharType="separate"/>
            </w:r>
            <w:r>
              <w:rPr>
                <w:rFonts w:cs="Times New Roman" w:ascii="Times New Roman" w:hAnsi="Times New Roman"/>
                <w:sz w:val="22"/>
                <w:szCs w:val="22"/>
              </w:rPr>
            </w:r>
            <w:r>
              <w:rPr>
                <w:rFonts w:cs="Times New Roman" w:ascii="Times New Roman" w:hAnsi="Times New Roman"/>
                <w:sz w:val="22"/>
                <w:szCs w:val="22"/>
                <w:lang w:val="en-US"/>
              </w:rPr>
              <w:t xml:space="preserve">(Guo </w:t>
            </w:r>
            <w:r>
              <w:rPr>
                <w:rFonts w:cs="Times New Roman" w:ascii="Times New Roman" w:hAnsi="Times New Roman"/>
                <w:i/>
                <w:sz w:val="22"/>
                <w:szCs w:val="22"/>
                <w:lang w:val="en-US"/>
              </w:rPr>
              <w:t>et al.</w:t>
            </w:r>
            <w:r>
              <w:rPr>
                <w:rFonts w:cs="Times New Roman" w:ascii="Times New Roman" w:hAnsi="Times New Roman"/>
                <w:sz w:val="22"/>
                <w:szCs w:val="22"/>
                <w:lang w:val="en-US"/>
              </w:rPr>
              <w:t>, 2018)</w:t>
            </w:r>
            <w:r/>
            <w:r>
              <w:rPr>
                <w:sz w:val="22"/>
                <w:szCs w:val="22"/>
                <w:rFonts w:cs="Times New Roman" w:ascii="Times New Roman" w:hAnsi="Times New Roman"/>
              </w:rPr>
              <w:fldChar w:fldCharType="end"/>
            </w:r>
            <w:r>
              <w:rPr>
                <w:rFonts w:cs="Times New Roman" w:ascii="Times New Roman" w:hAnsi="Times New Roman"/>
                <w:sz w:val="22"/>
                <w:szCs w:val="22"/>
              </w:rPr>
            </w:r>
          </w:p>
        </w:tc>
      </w:tr>
      <w:tr>
        <w:trPr>
          <w:trHeight w:val="238" w:hRule="atLeast"/>
        </w:trPr>
        <w:tc>
          <w:tcPr>
            <w:tcW w:w="1701" w:type="dxa"/>
            <w:tcBorders>
              <w:start w:val="single" w:sz="4" w:space="0" w:color="000000"/>
              <w:bottom w:val="single" w:sz="4" w:space="0" w:color="000000"/>
            </w:tcBorders>
          </w:tcPr>
          <w:p>
            <w:pPr>
              <w:pStyle w:val="Normal"/>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GSE106602</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Bulk</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RNA-seq</w:t>
            </w:r>
          </w:p>
        </w:tc>
        <w:tc>
          <w:tcPr>
            <w:tcW w:w="1277"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 (16), RIF (19)</w:t>
            </w:r>
          </w:p>
        </w:tc>
        <w:tc>
          <w:tcPr>
            <w:tcW w:w="1275"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(Coughlan </w:t>
              <w:br/>
            </w:r>
            <w:r>
              <w:rPr>
                <w:rFonts w:cs="Times New Roman" w:ascii="Times New Roman" w:hAnsi="Times New Roman"/>
                <w:i/>
                <w:sz w:val="22"/>
                <w:szCs w:val="22"/>
                <w:lang w:val="en-US"/>
              </w:rPr>
              <w:t>et al.</w:t>
            </w:r>
            <w:r>
              <w:rPr>
                <w:rFonts w:cs="Times New Roman" w:ascii="Times New Roman" w:hAnsi="Times New Roman"/>
                <w:sz w:val="22"/>
                <w:szCs w:val="22"/>
                <w:lang w:val="en-US"/>
              </w:rPr>
              <w:t>, 2014)</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Natural</w:t>
            </w:r>
          </w:p>
        </w:tc>
        <w:tc>
          <w:tcPr>
            <w:tcW w:w="113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LH + 7</w:t>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NA</w:t>
            </w:r>
          </w:p>
        </w:tc>
        <w:tc>
          <w:tcPr>
            <w:tcW w:w="99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Proved</w:t>
            </w:r>
          </w:p>
        </w:tc>
        <w:tc>
          <w:tcPr>
            <w:tcW w:w="1276"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Spain</w:t>
            </w:r>
          </w:p>
        </w:tc>
        <w:tc>
          <w:tcPr>
            <w:tcW w:w="2833"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{"citationItems":[{"id":"ITEM-1","itemData":{"DOI":"10.1093/HUMREP/DEY301","ISSN":"1460-2350","PMID":"30295736","abstract":"STUDY QUESTION: Does cellular composition of the endometrial biopsy affect the gene expression profile of endometrial whole-tissue samples? SUMMARY ANSWER: The differences in epithelial and stromal cell proportions in endometrial biopsies modify the whole-tissue gene expression profiles and affect the results of differential expression analyses. WHAT IS ALREADY KNOWN: Each cell type has its unique gene expression profile. The proportions of epithelial and stromal cells vary in endometrial tissue during the menstrual cycle, along with individual and technical variation due to the method and tools used to obtain the tissue biopsy. STUDY DESIGN, SIZE, DURATION: Using cell-population specific transcriptome data and computational deconvolution approach, we estimated the epithelial and stromal cell proportions in whole-tissue biopsies taken during early secretory and mid-secretory phases. The estimated cellular proportions were used as covariates in whole-tissue differential gene expression analysis. Endometrial transcriptomes before and after deconvolution were compared and analysed in biological context. PARTICIPANTS/MATERIAL, SETTING, METHODS: Paired early- and mid-secretory endometrial biopsies were obtained from 35 healthy, regularly cycling, fertile volunteers, aged 23-36 years, and analysed by RNA sequencing. Differential gene expression analysis was performed using two approaches. In one of them, computational deconvolution was applied as an intermediate step to adjust for the proportions of epithelial and stromal cells in the endometrial biopsy. The results were then compared to conventional differential expression analysis. Ten paired endometrial samples were analysed with qPCR to validate the results. MAIN RESULTS AND THE ROLE OF CHANCE: The estimated average proportions of stromal and epithelial cells in early secretory phase were 65% and 35%, and during mid-secretory phase, 46% and 54%, respectively, correlating well with the results of histological evaluation (r = 0.88, P = 1.1 × 10−6). Endometrial tissue transcriptomic analysis showed that approximately 26% of transcripts (n = 946) differentially expressed in receptive endometrium in cell-type unadjusted analysis also remain differentially expressed after adjustment for biopsy cellular composition. However, the other 74% (n = 2645) become statistically non-significant after adjustment for biopsy cellular composition underlining the impact of tissue heterogeneity on differential expression analy…","author":[{"dropping-particle":"","family":"Suhorutshenko","given":"Marina","non-dropping-particle":"","parse-names":false,"suffix":""},{"dropping-particle":"","family":"Kukushkina","given":"Viktorija","non-dropping-particle":"","parse-names":false,"suffix":""},{"dropping-particle":"","family":"Velthut-Meikas","given":"Agne","non-dropping-particle":"","parse-names":false,"suffix":""},{"dropping-particle":"","family":"Altmäe","given":"Signe","non-dropping-particle":"","parse-names":false,"suffix":""},{"dropping-particle":"","family":"Peters","given":"Maire","non-dropping-particle":"","parse-names":false,"suffix":""},{"dropping-particle":"","family":"Mägi","given":"Reedik","non-dropping-particle":"","parse-names":false,"suffix":""},{"dropping-particle":"","family":"Krjutškov","given":"Kaarel","non-dropping-particle":"","parse-names":false,"suffix":""},{"dropping-particle":"","family":"Koel","given":"Mariann","non-dropping-particle":"","parse-names":false,"suffix":""},{"dropping-particle":"","family":"Codoñer","given":"Francisco M.","non-dropping-particle":"","parse-names":false,"suffix":""},{"dropping-particle":"","family":"Martinez-Blanch","given":"Juan Fco","non-dropping-particle":"","parse-names":false,"suffix":""},{"dropping-particle":"","family":"Vilella","given":"Felipe","non-dropping-particle":"","parse-names":false,"suffix":""},{"dropping-particle":"","family":"Simón","given":"Carlos","non-dropping-particle":"","parse-names":false,"suffix":""},{"dropping-particle":"","family":"Salumets","given":"Andres","non-dropping-particle":"","parse-names":false,"suffix":""},{"dropping-particle":"","family":"Laisk","given":"Triin","non-dropping-particle":"","parse-names":false,"suffix":""}],"container-title":"Human reproduction (Oxford, England)","id":"ITEM-1","issue":"11","issued":{"date-parts":[["2018","11","1"]]},"page":"2074-2086","publisher":"Hum Reprod","title":"Endometrial receptivity revisited: endometrial transcriptome adjusted for tissue cellular heterogeneity","type":"article-journal","volume":"33"},"uris":["http://www.mendeley.com/documents/?uuid=4cdf2be5-29b0-3894-9e23-a91bcfce9064"]}],"mendeley":{"formattedCitation":"(Suhorutshenko &lt;i&gt;et al.&lt;/i&gt;, 2018)","plainTextFormattedCitation":"(Suhorutshenko et al., 2018)","previouslyFormattedCitation":"(Suhorutshenko &lt;i&gt;et al.&lt;/i&gt;, 2018)"},"properties":{"noteIndex":0},"schema":"https://github.com/citation-style-language/schema/raw/master/csl-citation.json"}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(Suhorutshenko </w:t>
            </w:r>
            <w:r>
              <w:rPr>
                <w:rFonts w:cs="Times New Roman" w:ascii="Times New Roman" w:hAnsi="Times New Roman"/>
                <w:i/>
                <w:sz w:val="22"/>
                <w:szCs w:val="22"/>
                <w:lang w:val="en-US"/>
              </w:rPr>
              <w:t>et al.</w:t>
            </w:r>
            <w:r>
              <w:rPr>
                <w:rFonts w:cs="Times New Roman" w:ascii="Times New Roman" w:hAnsi="Times New Roman"/>
                <w:sz w:val="22"/>
                <w:szCs w:val="22"/>
                <w:lang w:val="en-US"/>
              </w:rPr>
              <w:t>, 2018)</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r>
      <w:tr>
        <w:trPr>
          <w:trHeight w:val="238" w:hRule="atLeast"/>
        </w:trPr>
        <w:tc>
          <w:tcPr>
            <w:tcW w:w="1701" w:type="dxa"/>
            <w:tcBorders>
              <w:start w:val="single" w:sz="4" w:space="0" w:color="000000"/>
              <w:bottom w:val="single" w:sz="4" w:space="0" w:color="000000"/>
            </w:tcBorders>
          </w:tcPr>
          <w:p>
            <w:pPr>
              <w:pStyle w:val="Normal"/>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GSE111974</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Bulk</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Array</w:t>
            </w:r>
          </w:p>
        </w:tc>
        <w:tc>
          <w:tcPr>
            <w:tcW w:w="1277"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 (24), RIF (24)</w:t>
            </w:r>
          </w:p>
        </w:tc>
        <w:tc>
          <w:tcPr>
            <w:tcW w:w="1275"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(Coughlan </w:t>
              <w:br/>
            </w:r>
            <w:r>
              <w:rPr>
                <w:rFonts w:cs="Times New Roman" w:ascii="Times New Roman" w:hAnsi="Times New Roman"/>
                <w:i/>
                <w:sz w:val="22"/>
                <w:szCs w:val="22"/>
                <w:lang w:val="en-US"/>
              </w:rPr>
              <w:t>et al.</w:t>
            </w:r>
            <w:r>
              <w:rPr>
                <w:rFonts w:cs="Times New Roman" w:ascii="Times New Roman" w:hAnsi="Times New Roman"/>
                <w:sz w:val="22"/>
                <w:szCs w:val="22"/>
                <w:lang w:val="en-US"/>
              </w:rPr>
              <w:t>, 2014)</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Natural</w:t>
            </w:r>
          </w:p>
        </w:tc>
        <w:tc>
          <w:tcPr>
            <w:tcW w:w="113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LH + 7~10</w:t>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Controlled</w:t>
            </w:r>
          </w:p>
        </w:tc>
        <w:tc>
          <w:tcPr>
            <w:tcW w:w="99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Proved</w:t>
            </w:r>
          </w:p>
        </w:tc>
        <w:tc>
          <w:tcPr>
            <w:tcW w:w="1276"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Turkey</w:t>
            </w:r>
          </w:p>
        </w:tc>
        <w:tc>
          <w:tcPr>
            <w:tcW w:w="2833"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{"citationItems":[{"id":"ITEM-1","itemData":{"DOI":"10.1177/1933719118792104","ISSN":"1933-7205","PMID":"30081718","abstract":"The aim of this prospective cohort study was to identify altered biologic processes in the endometrium that may be potential markers of receptive endometrium in patients with repeated implantation failure (RIF) as compared with fertile controls. The study was conducted in a university-affiliated in vitro fertilization (IVF) gynecology clinic and molecular biology and genetics laboratory. Healthy fertile controls (n = 24) and patients with RIF (n = 24) were recruited. Window of implantation gene profiling associated with RIF was performed. Six hundred forty-one differentially expressed genes were identified, and 44 pathways were found enriched. Upon clustering of the enriched pathways, 9 representative pathways were established. The important pathways that were identified included circadian rhythm, pathways in cancer, proteasome, complement and coagulation cascades, citrate cycle, adherens junction, immune system and inflammation, cell cycle, and renin–angiotensin system. The involvement of the circadian rhythm pathway and other related pathways may alter the endometrium’s functioning to ultimately cause RIF. Furthermore, we found that the pathogenesis of RIF was multifaceted and that numerous processes were involved. We believe that a better understanding of the underlying mechanisms of RIF will ultimately give rise to better treatment opportunities and to better outcomes in IVF.","author":[{"dropping-particle":"","family":"Bastu","given":"Ercan","non-dropping-particle":"","parse-names":false,"suffix":""},{"dropping-particle":"","family":"Demiral","given":"Irem","non-dropping-particle":"","parse-names":false,"suffix":""},{"dropping-particle":"","family":"Gunel","given":"Tuba","non-dropping-particle":"","parse-names":false,"suffix":""},{"dropping-particle":"","family":"Ulgen","given":"Ege","non-dropping-particle":"","parse-names":false,"suffix":""},{"dropping-particle":"","family":"Gumusoglu","given":"Ece","non-dropping-particle":"","parse-names":false,"suffix":""},{"dropping-particle":"","family":"Hosseini","given":"Mohammad Kazem","non-dropping-particle":"","parse-names":false,"suffix":""},{"dropping-particle":"","family":"Sezerman","given":"Ugur","non-dropping-particle":"","parse-names":false,"suffix":""},{"dropping-particle":"","family":"Buyru","given":"Faruk","non-dropping-particle":"","parse-names":false,"suffix":""},{"dropping-particle":"","family":"Yeh","given":"John","non-dropping-particle":"","parse-names":false,"suffix":""}],"container-title":"Reproductive sciences (Thousand Oaks, Calif.)","id":"ITEM-1","issue":"7","issued":{"date-parts":[["2019","7","1"]]},"page":"879-890","publisher":"Reprod Sci","title":"Potential Marker Pathways in the Endometrium That May Cause Recurrent Implantation Failure","type":"article-journal","volume":"26"},"uris":["http://www.mendeley.com/documents/?uuid=45ca8541-f9b2-3f63-b32a-17763cde7aab"]}],"mendeley":{"formattedCitation":"(Bastu &lt;i&gt;et al.&lt;/i&gt;, 2019)","plainTextFormattedCitation":"(Bastu et al., 2019)","previouslyFormattedCitation":"(Bastu &lt;i&gt;et al.&lt;/i&gt;, 2019)"},"properties":{"noteIndex":0},"schema":"https://github.com/citation-style-language/schema/raw/master/csl-citation.json"}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(Bastu </w:t>
            </w:r>
            <w:r>
              <w:rPr>
                <w:rFonts w:cs="Times New Roman" w:ascii="Times New Roman" w:hAnsi="Times New Roman"/>
                <w:i/>
                <w:sz w:val="22"/>
                <w:szCs w:val="22"/>
                <w:lang w:val="en-US"/>
              </w:rPr>
              <w:t>et al.</w:t>
            </w:r>
            <w:r>
              <w:rPr>
                <w:rFonts w:cs="Times New Roman" w:ascii="Times New Roman" w:hAnsi="Times New Roman"/>
                <w:sz w:val="22"/>
                <w:szCs w:val="22"/>
                <w:lang w:val="en-US"/>
              </w:rPr>
              <w:t>, 2019)</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r>
      <w:tr>
        <w:trPr>
          <w:trHeight w:val="238" w:hRule="atLeast"/>
        </w:trPr>
        <w:tc>
          <w:tcPr>
            <w:tcW w:w="1701" w:type="dxa"/>
            <w:tcBorders>
              <w:start w:val="single" w:sz="4" w:space="0" w:color="000000"/>
              <w:bottom w:val="single" w:sz="4" w:space="0" w:color="000000"/>
            </w:tcBorders>
          </w:tcPr>
          <w:p>
            <w:pPr>
              <w:pStyle w:val="Normal"/>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GSE188409</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Bulk</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Array</w:t>
            </w:r>
          </w:p>
        </w:tc>
        <w:tc>
          <w:tcPr>
            <w:tcW w:w="1277"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 (5), RIF (5)</w:t>
            </w:r>
          </w:p>
        </w:tc>
        <w:tc>
          <w:tcPr>
            <w:tcW w:w="1275"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(Coughlan </w:t>
              <w:br/>
            </w:r>
            <w:r>
              <w:rPr>
                <w:rFonts w:cs="Times New Roman" w:ascii="Times New Roman" w:hAnsi="Times New Roman"/>
                <w:i/>
                <w:sz w:val="22"/>
                <w:szCs w:val="22"/>
                <w:lang w:val="en-US"/>
              </w:rPr>
              <w:t>et al.</w:t>
            </w:r>
            <w:r>
              <w:rPr>
                <w:rFonts w:cs="Times New Roman" w:ascii="Times New Roman" w:hAnsi="Times New Roman"/>
                <w:sz w:val="22"/>
                <w:szCs w:val="22"/>
                <w:lang w:val="en-US"/>
              </w:rPr>
              <w:t>, 2014)</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Natural</w:t>
            </w:r>
          </w:p>
        </w:tc>
        <w:tc>
          <w:tcPr>
            <w:tcW w:w="113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LH + 7</w:t>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Controlled</w:t>
            </w:r>
          </w:p>
        </w:tc>
        <w:tc>
          <w:tcPr>
            <w:tcW w:w="99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Proved</w:t>
            </w:r>
          </w:p>
        </w:tc>
        <w:tc>
          <w:tcPr>
            <w:tcW w:w="1276"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China</w:t>
            </w:r>
          </w:p>
        </w:tc>
        <w:tc>
          <w:tcPr>
            <w:tcW w:w="2833"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{"citationItems":[{"id":"ITEM-1","itemData":{"DOI":"10.1530/REP-21-0300","ISSN":"1741-7899","PMID":"35038314","abstract":"Recurrent implantation failure (RIF) is a challenge in the field of reproductive medicine, but mechanisms for its occurrence remain still unclear. Long non-coding RNAs (lncRNAs) have been found to play a vital role in many different diseases. In recent years, the differentially expressed lncRNAs have been reported in endometrial tissues. Here, we profiled dysregulated lncRNAs and mRNAs in the endometrial tissues of RIF patients and performed correlation analysis. We found that LINC02190 was upregulated in RIF endometrium and was bound to the integrin αD (ITGAD) mRNA promoter. Immunofluorescence assays were used to detect the location of ITGAD in the Ishikawa cell line and patients' endometrial biopsies. Overexpressed LINC02190 could decrease the expression of ITGAD and the adhesion rate of Ishikawa and JAR cells. Knockdown of the expression of LINC02190 significantly increased the ITGAD level, as well as the adhesion rate of Ishikawa and JAR cells. Furthermore, we demonstrated that the 150-250 bps of LINC02190 were the cis-elements involved in the regulation of ITGAD promoter activities. In conclusion, the results demonstrated that LINC02190 plays an important role in the occurrence of RIF, and the molecular mechanism may be associated with the embryo-endometrial attachment mediated by ITGAD. This study emphasizes the importance of lncRNAs in the occurrence of RIF and provides a potential new biomarker for diagnosis and therapies.","author":[{"dropping-particle":"","family":"Zhao","given":"Feiyan","non-dropping-particle":"","parse-names":false,"suffix":""},{"dropping-particle":"","family":"Chen","given":"Tong","non-dropping-particle":"","parse-names":false,"suffix":""},{"dropping-particle":"","family":"Zhao","given":"Xuehan","non-dropping-particle":"","parse-names":false,"suffix":""},{"dropping-particle":"","family":"Wang","given":"Qin","non-dropping-particle":"","parse-names":false,"suffix":""},{"dropping-particle":"","family":"Lan","given":"Yonglian","non-dropping-particle":"","parse-names":false,"suffix":""},{"dropping-particle":"","family":"Liang","given":"Yu","non-dropping-particle":"","parse-names":false,"suffix":""},{"dropping-particle":"","family":"Li","given":"Ying","non-dropping-particle":"","parse-names":false,"suffix":""},{"dropping-particle":"","family":"Wang","given":"Shuyu","non-dropping-particle":"","parse-names":false,"suffix":""},{"dropping-particle":"","family":"Yang","given":"Yang","non-dropping-particle":"","parse-names":false,"suffix":""},{"dropping-particle":"","family":"Yang","given":"Xiaokui","non-dropping-particle":"","parse-names":false,"suffix":""}],"container-title":"Reproduction (Cambridge, England)","id":"ITEM-1","issue":"2","issued":{"date-parts":[["2022","2","1"]]},"page":"107-118","publisher":"Reproduction","title":"LINC02190 inhibits the embryo-endometrial attachment by decreasing ITGAD expression","type":"article-journal","volume":"163"},"uris":["http://www.mendeley.com/documents/?uuid=8ddb5d43-1bf5-369a-8e73-b4459b125240"]}],"mendeley":{"formattedCitation":"(Zhao &lt;i&gt;et al.&lt;/i&gt;, 2022)","plainTextFormattedCitation":"(Zhao et al., 2022)","previouslyFormattedCitation":"(Zhao &lt;i&gt;et al.&lt;/i&gt;, 2022)"},"properties":{"noteIndex":0},"schema":"https://github.com/citation-style-language/schema/raw/master/csl-citation.json"}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(Zhao </w:t>
            </w:r>
            <w:r>
              <w:rPr>
                <w:rFonts w:cs="Times New Roman" w:ascii="Times New Roman" w:hAnsi="Times New Roman"/>
                <w:i/>
                <w:sz w:val="22"/>
                <w:szCs w:val="22"/>
                <w:lang w:val="en-US"/>
              </w:rPr>
              <w:t>et al.</w:t>
            </w:r>
            <w:r>
              <w:rPr>
                <w:rFonts w:cs="Times New Roman" w:ascii="Times New Roman" w:hAnsi="Times New Roman"/>
                <w:sz w:val="22"/>
                <w:szCs w:val="22"/>
                <w:lang w:val="en-US"/>
              </w:rPr>
              <w:t>, 2022)</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r>
      <w:tr>
        <w:trPr>
          <w:trHeight w:val="250" w:hRule="atLeast"/>
        </w:trPr>
        <w:tc>
          <w:tcPr>
            <w:tcW w:w="1701" w:type="dxa"/>
            <w:tcBorders>
              <w:start w:val="single" w:sz="4" w:space="0" w:color="000000"/>
              <w:bottom w:val="single" w:sz="4" w:space="0" w:color="000000"/>
            </w:tcBorders>
          </w:tcPr>
          <w:p>
            <w:pPr>
              <w:pStyle w:val="Normal"/>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GSE183837</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Single cells</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RNA-seq</w:t>
            </w:r>
          </w:p>
        </w:tc>
        <w:tc>
          <w:tcPr>
            <w:tcW w:w="1277"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 (3), RIF (6)</w:t>
            </w:r>
          </w:p>
        </w:tc>
        <w:tc>
          <w:tcPr>
            <w:tcW w:w="1275"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(Coughlan </w:t>
              <w:br/>
            </w:r>
            <w:r>
              <w:rPr>
                <w:rFonts w:cs="Times New Roman" w:ascii="Times New Roman" w:hAnsi="Times New Roman"/>
                <w:i/>
                <w:sz w:val="22"/>
                <w:szCs w:val="22"/>
                <w:lang w:val="en-US"/>
              </w:rPr>
              <w:t>et al.</w:t>
            </w:r>
            <w:r>
              <w:rPr>
                <w:rFonts w:cs="Times New Roman" w:ascii="Times New Roman" w:hAnsi="Times New Roman"/>
                <w:sz w:val="22"/>
                <w:szCs w:val="22"/>
                <w:lang w:val="en-US"/>
              </w:rPr>
              <w:t>, 2014)</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Natural</w:t>
            </w:r>
          </w:p>
        </w:tc>
        <w:tc>
          <w:tcPr>
            <w:tcW w:w="113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LH + 7</w:t>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Controlled</w:t>
            </w:r>
          </w:p>
        </w:tc>
        <w:tc>
          <w:tcPr>
            <w:tcW w:w="99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Proved</w:t>
            </w:r>
          </w:p>
        </w:tc>
        <w:tc>
          <w:tcPr>
            <w:tcW w:w="1276"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China</w:t>
            </w:r>
          </w:p>
        </w:tc>
        <w:tc>
          <w:tcPr>
            <w:tcW w:w="2833"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{"citationItems":[{"id":"ITEM-1","itemData":{"DOI":"10.7150/THNO.74053","ISSN":"1838-7640","PMID":"36185612","abstract":"Introduction: Despite great advances in assisted reproductive technology (ART), recurrent implantation failure (RIF) cannot be effectively avoided. Notably, cellular characteristics and communication that regulate endometrial receptivity and differentiation, and its disorders in RIF at window of implantation (WOI) remain rudimentary. Objectives: In this study, we profiled the endometrial cells present at the WOI timing in RIF patients and healthy controls using single-cell RNA sequencing (scRNA-seq) and provided a detailed molecular and cellular map of a healthy and RIF endometrium at the WOI. Method: In the current study, the endometrium from RIF patient (n = 6; age range, 32 - 35 years) and control (Ctrl) (n = 3; age range, 29 - 35 years) groups were studied at a single-cell resolution. single-cell RNA-seq and analysis were performed on the endometrium of patients with RIF and Ctrl. Immunofluorescence, flow cytometry assays, and quantitative real-time polymerase chain reaction (qRT-PCR) were performed to verify cellular identity and function. Results: We profiled the transcriptomes of 60222 primary human endometrial cells isolated from control and RIF patients at a single-cell resolution. We discovered dramatic differential expression of endometrial receptivity-related genes in four major endometrial fibroblast-like cells from RIF patients compared to the control endometrium. We observed that CD49a+CXCR4+NK cells were diminished in proportion with RIF. The decrease in subset of CD63highPGRhigh endometrial epithelial cells with high levels of progesterone receptor, autophagy and exosomes should contribute to the decrease in subset of NK cells. Additionally, we characterized aberrant molecular and cellular characteristics and endometrial cell-cell communication disorders in RIF patients. Conclusion: Our study provides deeper insights into endometrial microenvironment disorder of RIF that are potentially applicable to improving the etiological diagnosis and therapeutics of unexplained RIF.","author":[{"dropping-particle":"","family":"Lai","given":"Zhen Zhen","non-dropping-particle":"","parse-names":false,"suffix":""},{"dropping-particle":"","family":"Wang","given":"Yun","non-dropping-particle":"","parse-names":false,"suffix":""},{"dropping-particle":"","family":"Zhou","given":"Wen Jie","non-dropping-particle":"","parse-names":false,"suffix":""},{"dropping-particle":"","family":"Liang","given":"Zhou","non-dropping-particle":"","parse-names":false,"suffix":""},{"dropping-particle":"","family":"Shi","given":"Jia Wei","non-dropping-particle":"","parse-names":false,"suffix":""},{"dropping-particle":"","family":"Yang","given":"Hui Li","non-dropping-particle":"","parse-names":false,"suffix":""},{"dropping-particle":"","family":"Xie","given":"Feng","non-dropping-particle":"","parse-names":false,"suffix":""},{"dropping-particle":"","family":"Chen","given":"Wei Dong","non-dropping-particle":"","parse-names":false,"suffix":""},{"dropping-particle":"","family":"Zhu","given":"Rui","non-dropping-particle":"","parse-names":false,"suffix":""},{"dropping-particle":"","family":"Zhang","given":"Ce","non-dropping-particle":"","parse-names":false,"suffix":""},{"dropping-particle":"","family":"Mei","given":"Jie","non-dropping-particle":"","parse-names":false,"suffix":""},{"dropping-particle":"","family":"Zhao","given":"Jian Yuan","non-dropping-particle":"","parse-names":false,"suffix":""},{"dropping-particle":"","family":"Ye","given":"Jiang Feng","non-dropping-particle":"","parse-names":false,"suffix":""},{"dropping-particle":"","family":"Zhang","given":"Tao","non-dropping-particle":"","parse-names":false,"suffix":""},{"dropping-particle":"","family":"Li","given":"Ming Qing","non-dropping-particle":"","parse-names":false,"suffix":""}],"container-title":"Theranostics","id":"ITEM-1","issue":"15","issued":{"date-parts":[["2022"]]},"page":"6527-6547","publisher":"Ivyspring International Publisher","title":"Single-cell transcriptome profiling of the human endometrium of patients with recurrent implantation failure","type":"article-journal","volume":"12"},"uris":["http://www.mendeley.com/documents/?uuid=a248f261-46ed-3c02-be04-806c64656db4"]}],"mendeley":{"formattedCitation":"(Lai &lt;i&gt;et al.&lt;/i&gt;, 2022)","plainTextFormattedCitation":"(Lai et al., 2022)","previouslyFormattedCitation":"(Lai &lt;i&gt;et al.&lt;/i&gt;, 2022)"},"properties":{"noteIndex":0},"schema":"https://github.com/citation-style-language/schema/raw/master/csl-citation.json"}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(Lai </w:t>
            </w:r>
            <w:r>
              <w:rPr>
                <w:rFonts w:cs="Times New Roman" w:ascii="Times New Roman" w:hAnsi="Times New Roman"/>
                <w:i/>
                <w:sz w:val="22"/>
                <w:szCs w:val="22"/>
                <w:lang w:val="en-US"/>
              </w:rPr>
              <w:t>et al.</w:t>
            </w:r>
            <w:r>
              <w:rPr>
                <w:rFonts w:cs="Times New Roman" w:ascii="Times New Roman" w:hAnsi="Times New Roman"/>
                <w:sz w:val="22"/>
                <w:szCs w:val="22"/>
                <w:lang w:val="en-US"/>
              </w:rPr>
              <w:t>, 2022)</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r>
      <w:tr>
        <w:trPr>
          <w:trHeight w:val="238" w:hRule="atLeast"/>
        </w:trPr>
        <w:tc>
          <w:tcPr>
            <w:tcW w:w="1701" w:type="dxa"/>
            <w:tcBorders>
              <w:start w:val="single" w:sz="4" w:space="0" w:color="000000"/>
              <w:bottom w:val="single" w:sz="4" w:space="0" w:color="000000"/>
            </w:tcBorders>
          </w:tcPr>
          <w:p>
            <w:pPr>
              <w:pStyle w:val="Normal"/>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GSE205398</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Bulk</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RNA-seq</w:t>
            </w:r>
          </w:p>
        </w:tc>
        <w:tc>
          <w:tcPr>
            <w:tcW w:w="1277"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 (3), RIF (3)</w:t>
            </w:r>
          </w:p>
        </w:tc>
        <w:tc>
          <w:tcPr>
            <w:tcW w:w="1275"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(Coughlan </w:t>
              <w:br/>
            </w:r>
            <w:r>
              <w:rPr>
                <w:rFonts w:cs="Times New Roman" w:ascii="Times New Roman" w:hAnsi="Times New Roman"/>
                <w:i/>
                <w:sz w:val="22"/>
                <w:szCs w:val="22"/>
                <w:lang w:val="en-US"/>
              </w:rPr>
              <w:t>et al.</w:t>
            </w:r>
            <w:r>
              <w:rPr>
                <w:rFonts w:cs="Times New Roman" w:ascii="Times New Roman" w:hAnsi="Times New Roman"/>
                <w:sz w:val="22"/>
                <w:szCs w:val="22"/>
                <w:lang w:val="en-US"/>
              </w:rPr>
              <w:t>, 2014)</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Natural</w:t>
            </w:r>
          </w:p>
        </w:tc>
        <w:tc>
          <w:tcPr>
            <w:tcW w:w="113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MS</w:t>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Controlled</w:t>
            </w:r>
          </w:p>
        </w:tc>
        <w:tc>
          <w:tcPr>
            <w:tcW w:w="99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Proved</w:t>
            </w:r>
          </w:p>
        </w:tc>
        <w:tc>
          <w:tcPr>
            <w:tcW w:w="1276"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China</w:t>
            </w:r>
          </w:p>
        </w:tc>
        <w:tc>
          <w:tcPr>
            <w:tcW w:w="2833"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{"citationItems":[{"id":"ITEM-1","itemData":{"DOI":"10.1186/S12920-024-02013-3","ISSN":"1755-8794","PMID":"39394578","abstract":"N6-methyladenosine (m6A) is involved in most biological processes and actively participates in the regulation of reproduction. According to recent research, long non-coding RNAs (lncRNAs) and their m6A modifications are involved in reproductive diseases. In the present study, using m6A-modified RNA immunoprecipitation sequencing (m6A-seq), we established the m6A methylation transcription profiles in patients with recurrent implantation failure (RIF) for the first time. There were 1443 significantly upregulated m6A peaks and 425 significantly downregulated m6A peaks in RIF. Gene Ontology and Kyoto Encyclopedia of Genes and Genomes pathway analyses revealed that genes associated with differentially methylated lncRNAs are involved in the p53 signalling pathway and amino acid metabolism. The competing endogenous RNA network revealed a regulatory relationship between lncRNAs, microRNAs and messenger RNAs. We verified the m6A methylation abundances of lncRNAs by using m6A-RNA immunoprecipitation (MeRIP)–real-time polymerase chain reaction. This study lays a foundation for further exploration of the potential role of m6A modification in the pathogenesis of RIF.","author":[{"dropping-particle":"","family":"Wang","given":"Ting","non-dropping-particle":"","parse-names":false,"suffix":""},{"dropping-particle":"","family":"Zhang","given":"Lili","non-dropping-particle":"","parse-names":false,"suffix":""},{"dropping-particle":"","family":"Gao","given":"Wenxin","non-dropping-particle":"","parse-names":false,"suffix":""},{"dropping-particle":"","family":"Liu","given":"Yidan","non-dropping-particle":"","parse-names":false,"suffix":""},{"dropping-particle":"","family":"Yue","given":"Feng","non-dropping-particle":"","parse-names":false,"suffix":""},{"dropping-particle":"","family":"Ma","given":"Xiaoling","non-dropping-particle":"","parse-names":false,"suffix":""},{"dropping-particle":"","family":"Liu","given":"Lin","non-dropping-particle":"","parse-names":false,"suffix":""}],"container-title":"BMC medical genomics","id":"ITEM-1","issue":"1","issued":{"date-parts":[["2024","12","1"]]},"publisher":"BMC Med Genomics","title":"Transcriptome-wide N6-methyladenosine modification profiling of long non-coding RNAs in patients with recurrent implantation failure","type":"article-journal","volume":"17"},"uris":["http://www.mendeley.com/documents/?uuid=5b36afaa-fe0a-3245-aad7-7ec8aefe6f78"]}],"mendeley":{"formattedCitation":"(Wang &lt;i&gt;et al.&lt;/i&gt;, 2024)","plainTextFormattedCitation":"(Wang et al., 2024)","previouslyFormattedCitation":"(Wang &lt;i&gt;et al.&lt;/i&gt;, 2024)"},"properties":{"noteIndex":0},"schema":"https://github.com/citation-style-language/schema/raw/master/csl-citation.json"}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(Wang </w:t>
            </w:r>
            <w:r>
              <w:rPr>
                <w:rFonts w:cs="Times New Roman" w:ascii="Times New Roman" w:hAnsi="Times New Roman"/>
                <w:i/>
                <w:sz w:val="22"/>
                <w:szCs w:val="22"/>
                <w:lang w:val="en-US"/>
              </w:rPr>
              <w:t>et al.</w:t>
            </w:r>
            <w:r>
              <w:rPr>
                <w:rFonts w:cs="Times New Roman" w:ascii="Times New Roman" w:hAnsi="Times New Roman"/>
                <w:sz w:val="22"/>
                <w:szCs w:val="22"/>
                <w:lang w:val="en-US"/>
              </w:rPr>
              <w:t>, 2024)</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r>
      <w:tr>
        <w:trPr>
          <w:trHeight w:val="238" w:hRule="atLeast"/>
        </w:trPr>
        <w:tc>
          <w:tcPr>
            <w:tcW w:w="1701" w:type="dxa"/>
            <w:tcBorders>
              <w:start w:val="single" w:sz="4" w:space="0" w:color="000000"/>
              <w:bottom w:val="single" w:sz="4" w:space="0" w:color="000000"/>
            </w:tcBorders>
          </w:tcPr>
          <w:p>
            <w:pPr>
              <w:pStyle w:val="Normal"/>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GSE207362</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Bulk</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RNA-seq</w:t>
            </w:r>
          </w:p>
        </w:tc>
        <w:tc>
          <w:tcPr>
            <w:tcW w:w="1277"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 (26), RIF (12)</w:t>
            </w:r>
          </w:p>
        </w:tc>
        <w:tc>
          <w:tcPr>
            <w:tcW w:w="1275"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(Coughlan </w:t>
              <w:br/>
            </w:r>
            <w:r>
              <w:rPr>
                <w:rFonts w:cs="Times New Roman" w:ascii="Times New Roman" w:hAnsi="Times New Roman"/>
                <w:i/>
                <w:sz w:val="22"/>
                <w:szCs w:val="22"/>
                <w:lang w:val="en-US"/>
              </w:rPr>
              <w:t>et al.</w:t>
            </w:r>
            <w:r>
              <w:rPr>
                <w:rFonts w:cs="Times New Roman" w:ascii="Times New Roman" w:hAnsi="Times New Roman"/>
                <w:sz w:val="22"/>
                <w:szCs w:val="22"/>
                <w:lang w:val="en-US"/>
              </w:rPr>
              <w:t>, 2014)</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Artificial</w:t>
            </w:r>
          </w:p>
        </w:tc>
        <w:tc>
          <w:tcPr>
            <w:tcW w:w="113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P4 + 7</w:t>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Controlled</w:t>
            </w:r>
          </w:p>
        </w:tc>
        <w:tc>
          <w:tcPr>
            <w:tcW w:w="99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Proved</w:t>
            </w:r>
          </w:p>
        </w:tc>
        <w:tc>
          <w:tcPr>
            <w:tcW w:w="1276"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Japan</w:t>
            </w:r>
          </w:p>
        </w:tc>
        <w:tc>
          <w:tcPr>
            <w:tcW w:w="2833"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{"citationItems":[{"id":"ITEM-1","itemData":{"DOI":"10.1038/S41419-023-05832-X","ISSN":"2041-4889","PMID":"37198149","abstract":"Infertility occurs in 15% of couples worldwide. Recurrent implantation failure (RIF) is one of the major problems in in vitro fertilization and embryo transfer (IVF–ET) programs, and how to manage patients with RIF to achieve successful pregnancy outcomes remains unresolved. Here, a uterine polycomb repressive complex 2 (PRC2)-regulated gene network was found to control embryo implantation. Our RNA-seq analyses of the human peri-implantation endometrium obtained from patients with RIF and fertile controls revealed that PRC2 components, including its core enzyme enhancer of zeste homolog 2 (EZH2)-catalyzing H3K27 trimethylation (H3K27me3) and their target genes are dysregulated in the RIF group. Although fertility of uterine epithelium-specific knockout mice of Ezh2 (eKO mice) was normal, Ezh2-deleted mice in the uterine epithelium and stroma (uKO mice) exhibited severe subfertility, suggesting that stromal Ezh2 plays a key role in female fertility. The RNA-seq and ChIP-seq analyses revealed that H3K27me3-related dynamic gene silencing is canceled, and the gene expression of cell-cycle regulators is dysregulated in Ezh2-deleted uteri, causing severe epithelial and stromal differentiation defects and failed embryo invasion. Thus, our findings indicate that the EZH2–PRC2–H3K27me3 axis is critical to preparing the endometrium for the blastocyst invasion into the stroma in mice and humans.","author":[{"dropping-particle":"","family":"Fukui","given":"Yamato","non-dropping-particle":"","parse-names":false,"suffix":""},{"dropping-particle":"","family":"Hirota","given":"Yasushi","non-dropping-particle":"","parse-names":false,"suffix":""},{"dropping-particle":"","family":"Aikawa","given":"Shizu","non-dropping-particle":"","parse-names":false,"suffix":""},{"dropping-particle":"","family":"Sakashita","given":"Akihiko","non-dropping-particle":"","parse-names":false,"suffix":""},{"dropping-particle":"","family":"Shimizu-Hirota","given":"Ryoko","non-dropping-particle":"","parse-names":false,"suffix":""},{"dropping-particle":"","family":"Takeda","given":"Norihiko","non-dropping-particle":"","parse-names":false,"suffix":""},{"dropping-particle":"","family":"Ishizawa","given":"Chihiro","non-dropping-particle":"","parse-names":false,"suffix":""},{"dropping-particle":"","family":"Iida","given":"Rei","non-dropping-particle":"","parse-names":false,"suffix":""},{"dropping-particle":"","family":"Kaku","given":"Tetsuaki","non-dropping-particle":"","parse-names":false,"suffix":""},{"dropping-particle":"","family":"Hirata","given":"Tomoyuki","non-dropping-particle":"","parse-names":false,"suffix":""},{"dropping-particle":"","family":"Hiraoka","given":"Takehiro","non-dropping-particle":"","parse-names":false,"suffix":""},{"dropping-particle":"","family":"Akaeda","given":"Shun","non-dropping-particle":"","parse-names":false,"suffix":""},{"dropping-particle":"","family":"Matsuo","given":"Mitsunori","non-dropping-particle":"","parse-names":false,"suffix":""},{"dropping-particle":"","family":"Osuga","given":"Yutaka","non-dropping-particle":"","parse-names":false,"suffix":""}],"container-title":"Cell death &amp; disease","id":"ITEM-1","issue":"5","issued":{"date-parts":[["2023","5","1"]]},"publisher":"Cell Death Dis","title":"The EZH2-PRC2-H3K27me3 axis governs the endometrial cell cycle and differentiation for blastocyst invasion","type":"article-journal","volume":"14"},"uris":["http://www.mendeley.com/documents/?uuid=f2c83997-d5fd-30ef-83c0-0037b6ef6bd8"]}],"mendeley":{"formattedCitation":"(Fukui &lt;i&gt;et al.&lt;/i&gt;, 2023)","plainTextFormattedCitation":"(Fukui et al., 2023)","previouslyFormattedCitation":"(Fukui &lt;i&gt;et al.&lt;/i&gt;, 2023)"},"properties":{"noteIndex":0},"schema":"https://github.com/citation-style-language/schema/raw/master/csl-citation.json"}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(Fukui </w:t>
            </w:r>
            <w:r>
              <w:rPr>
                <w:rFonts w:cs="Times New Roman" w:ascii="Times New Roman" w:hAnsi="Times New Roman"/>
                <w:i/>
                <w:sz w:val="22"/>
                <w:szCs w:val="22"/>
                <w:lang w:val="en-US"/>
              </w:rPr>
              <w:t>et al.</w:t>
            </w:r>
            <w:r>
              <w:rPr>
                <w:rFonts w:cs="Times New Roman" w:ascii="Times New Roman" w:hAnsi="Times New Roman"/>
                <w:sz w:val="22"/>
                <w:szCs w:val="22"/>
                <w:lang w:val="en-US"/>
              </w:rPr>
              <w:t>, 2023)</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r>
      <w:tr>
        <w:trPr>
          <w:trHeight w:val="250" w:hRule="atLeast"/>
        </w:trPr>
        <w:tc>
          <w:tcPr>
            <w:tcW w:w="1701" w:type="dxa"/>
            <w:tcBorders>
              <w:start w:val="single" w:sz="4" w:space="0" w:color="000000"/>
              <w:bottom w:val="single" w:sz="4" w:space="0" w:color="000000"/>
            </w:tcBorders>
          </w:tcPr>
          <w:p>
            <w:pPr>
              <w:pStyle w:val="Normal"/>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GSE243550</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Bulk</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RNA-seq</w:t>
            </w:r>
          </w:p>
        </w:tc>
        <w:tc>
          <w:tcPr>
            <w:tcW w:w="1277"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 (20), RIF (20)</w:t>
            </w:r>
          </w:p>
        </w:tc>
        <w:tc>
          <w:tcPr>
            <w:tcW w:w="1275"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(Coughlan </w:t>
              <w:br/>
            </w:r>
            <w:r>
              <w:rPr>
                <w:rFonts w:cs="Times New Roman" w:ascii="Times New Roman" w:hAnsi="Times New Roman"/>
                <w:i/>
                <w:sz w:val="22"/>
                <w:szCs w:val="22"/>
                <w:lang w:val="en-US"/>
              </w:rPr>
              <w:t>et al.</w:t>
            </w:r>
            <w:r>
              <w:rPr>
                <w:rFonts w:cs="Times New Roman" w:ascii="Times New Roman" w:hAnsi="Times New Roman"/>
                <w:sz w:val="22"/>
                <w:szCs w:val="22"/>
                <w:lang w:val="en-US"/>
              </w:rPr>
              <w:t>, 2014)</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Artificial</w:t>
            </w:r>
          </w:p>
        </w:tc>
        <w:tc>
          <w:tcPr>
            <w:tcW w:w="113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P4 + 5</w:t>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Controlled</w:t>
            </w:r>
          </w:p>
        </w:tc>
        <w:tc>
          <w:tcPr>
            <w:tcW w:w="99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NA</w:t>
            </w:r>
          </w:p>
        </w:tc>
        <w:tc>
          <w:tcPr>
            <w:tcW w:w="1276"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China</w:t>
            </w:r>
          </w:p>
        </w:tc>
        <w:tc>
          <w:tcPr>
            <w:tcW w:w="2833"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NA</w:t>
            </w:r>
          </w:p>
        </w:tc>
      </w:tr>
      <w:tr>
        <w:trPr>
          <w:trHeight w:val="238" w:hRule="atLeast"/>
        </w:trPr>
        <w:tc>
          <w:tcPr>
            <w:tcW w:w="1701"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GSE250130</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Single cells</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RNA-seq</w:t>
            </w:r>
          </w:p>
        </w:tc>
        <w:tc>
          <w:tcPr>
            <w:tcW w:w="1277"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 (18), RIF (10)</w:t>
            </w:r>
          </w:p>
        </w:tc>
        <w:tc>
          <w:tcPr>
            <w:tcW w:w="1275"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(Coughlan </w:t>
              <w:br/>
            </w:r>
            <w:r>
              <w:rPr>
                <w:rFonts w:cs="Times New Roman" w:ascii="Times New Roman" w:hAnsi="Times New Roman"/>
                <w:i/>
                <w:sz w:val="22"/>
                <w:szCs w:val="22"/>
                <w:lang w:val="en-US"/>
              </w:rPr>
              <w:t>et al.</w:t>
            </w:r>
            <w:r>
              <w:rPr>
                <w:rFonts w:cs="Times New Roman" w:ascii="Times New Roman" w:hAnsi="Times New Roman"/>
                <w:sz w:val="22"/>
                <w:szCs w:val="22"/>
                <w:lang w:val="en-US"/>
              </w:rPr>
              <w:t>, 2014)</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Natural</w:t>
            </w:r>
          </w:p>
        </w:tc>
        <w:tc>
          <w:tcPr>
            <w:tcW w:w="113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LH + 7</w:t>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Controlled</w:t>
            </w:r>
          </w:p>
        </w:tc>
        <w:tc>
          <w:tcPr>
            <w:tcW w:w="99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Proved</w:t>
            </w:r>
          </w:p>
        </w:tc>
        <w:tc>
          <w:tcPr>
            <w:tcW w:w="1276"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China</w:t>
            </w:r>
          </w:p>
        </w:tc>
        <w:tc>
          <w:tcPr>
            <w:tcW w:w="2833"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{"citationItems":[{"id":"ITEM-1","itemData":{"DOI":"10.1038/s41467-024-55419-z","ISSN":"2041-1723","abstract":"Understanding human endometrial dynamics in the establishment of endometrial receptivity remains a challenge, which limits early diagnosis and treatment of endometrial-factor infertility. Here, we decode the endometrial dynamics of fertile women across the window of implantation and characterize the endometrial deficiency in women with recurrent implantation failure. A computational model capable of both temporal prediction and pattern discovery is used to analyze single-cell transcriptomic data from over 220,000 endometrial cells. The time-series atlas highlights a two-stage stromal decidualization process and a gradual transitional process of the luminal epithelial cells across the window of implantation. In addition, a time-varying gene set regulating epithelium receptivity is identified, based on which the recurrent implantation failure endometria are stratified into two classes of deficiencies. Further investigation uncovers a hyper-inflammatory microenvironment for the dysfunctional endometrial epithelial cells of recurrent implantation failure. The holistic characterization of the physiological and pathophysiological window of implantation and a computational tool trained on this temporal atlas provide a platform for future therapeutic developments. Time-series single-cell transcriptomic characterization of luteal-phase endometrium in fertile women with a variational autoencoder model uncovers the association of decreased epithelial receptivity and hyperinflammatory microenvironment in recurrent implantation failures.","author":[{"dropping-particle":"","family":"Cao","given":"Dandan","non-dropping-particle":"","parse-names":false,"suffix":""},{"dropping-particle":"","family":"Liu","given":"Yijun","non-dropping-particle":"","parse-names":false,"suffix":""},{"dropping-particle":"","family":"Cheng","given":"Yanfei","non-dropping-particle":"","parse-names":false,"suffix":""},{"dropping-particle":"","family":"Wang","given":"Jue","non-dropping-particle":"","parse-names":false,"suffix":""},{"dropping-particle":"","family":"Zhang","given":"Bolun","non-dropping-particle":"","parse-names":false,"suffix":""},{"dropping-particle":"","family":"Zhai","given":"Yanhui","non-dropping-particle":"","parse-names":false,"suffix":""},{"dropping-particle":"","family":"Zhu","given":"Kongfu","non-dropping-particle":"","parse-names":false,"suffix":""},{"dropping-particle":"","family":"Liu","given":"Ye","non-dropping-particle":"","parse-names":false,"suffix":""},{"dropping-particle":"","family":"Shang","given":"Ye","non-dropping-particle":"","parse-names":false,"suffix":""},{"dropping-particle":"","family":"Xiao","given":"Xiao","non-dropping-particle":"","parse-names":false,"suffix":""},{"dropping-particle":"","family":"Chang","given":"Yi","non-dropping-particle":"","parse-names":false,"suffix":""},{"dropping-particle":"","family":"Lee","given":"Yin Lau","non-dropping-particle":"","parse-names":false,"suffix":""},{"dropping-particle":"","family":"Shu","given":"William","non-dropping-particle":"","parse-names":false,"suffix":""},{"dropping-particle":"","family":"Yeung","given":"Biu","non-dropping-particle":"","parse-names":false,"suffix":""},{"dropping-particle":"","family":"Huang","given":"Yuanhua","non-dropping-particle":"","parse-names":false,"suffix":""},{"dropping-particle":"","family":"Yao","given":"Yuanqing","non-dropping-particle":"","parse-names":false,"suffix":""}],"container-title":"Nature Communications 2024 16:1","id":"ITEM-1","issue":"1","issued":{"date-parts":[["2025","1","2"]]},"page":"137-","publisher":"Nature Publishing Group","title":"Time-series single-cell transcriptomic profiling of luteal-phase endometrium uncovers dynamic characteristics and its dysregulation in recurrent implantation failures","type":"article-journal","volume":"16"},"uris":["http://www.mendeley.com/documents/?uuid=3f4c7612-7d6d-3394-bb6e-133ed4043930"]}],"mendeley":{"formattedCitation":"(Cao &lt;i&gt;et al.&lt;/i&gt;, 2025)","plainTextFormattedCitation":"(Cao et al., 2025)","previouslyFormattedCitation":"(Cao &lt;i&gt;et al.&lt;/i&gt;, 2025)"},"properties":{"noteIndex":0},"schema":"https://github.com/citation-style-language/schema/raw/master/csl-citation.json"}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(Cao </w:t>
            </w:r>
            <w:r>
              <w:rPr>
                <w:rFonts w:cs="Times New Roman" w:ascii="Times New Roman" w:hAnsi="Times New Roman"/>
                <w:i/>
                <w:sz w:val="22"/>
                <w:szCs w:val="22"/>
                <w:lang w:val="en-US"/>
              </w:rPr>
              <w:t>et al.</w:t>
            </w:r>
            <w:r>
              <w:rPr>
                <w:rFonts w:cs="Times New Roman" w:ascii="Times New Roman" w:hAnsi="Times New Roman"/>
                <w:sz w:val="22"/>
                <w:szCs w:val="22"/>
                <w:lang w:val="en-US"/>
              </w:rPr>
              <w:t>, 2025)</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r>
      <w:tr>
        <w:trPr>
          <w:trHeight w:val="238" w:hRule="atLeast"/>
        </w:trPr>
        <w:tc>
          <w:tcPr>
            <w:tcW w:w="1701" w:type="dxa"/>
            <w:tcBorders>
              <w:start w:val="single" w:sz="4" w:space="0" w:color="000000"/>
              <w:bottom w:val="single" w:sz="4" w:space="0" w:color="000000"/>
            </w:tcBorders>
          </w:tcPr>
          <w:p>
            <w:pPr>
              <w:pStyle w:val="Normal"/>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GSE26787</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Bulk</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Array</w:t>
            </w:r>
          </w:p>
        </w:tc>
        <w:tc>
          <w:tcPr>
            <w:tcW w:w="1277"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 (5), RIF (5)</w:t>
            </w:r>
          </w:p>
        </w:tc>
        <w:tc>
          <w:tcPr>
            <w:tcW w:w="1275"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(Coughlan </w:t>
              <w:br/>
            </w:r>
            <w:r>
              <w:rPr>
                <w:rFonts w:cs="Times New Roman" w:ascii="Times New Roman" w:hAnsi="Times New Roman"/>
                <w:i/>
                <w:sz w:val="22"/>
                <w:szCs w:val="22"/>
                <w:lang w:val="en-US"/>
              </w:rPr>
              <w:t>et al.</w:t>
            </w:r>
            <w:r>
              <w:rPr>
                <w:rFonts w:cs="Times New Roman" w:ascii="Times New Roman" w:hAnsi="Times New Roman"/>
                <w:sz w:val="22"/>
                <w:szCs w:val="22"/>
                <w:lang w:val="en-US"/>
              </w:rPr>
              <w:t>, 2014)</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Natural</w:t>
            </w:r>
          </w:p>
        </w:tc>
        <w:tc>
          <w:tcPr>
            <w:tcW w:w="113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LH + 7</w:t>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Controlled</w:t>
            </w:r>
          </w:p>
        </w:tc>
        <w:tc>
          <w:tcPr>
            <w:tcW w:w="99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Proved</w:t>
            </w:r>
          </w:p>
        </w:tc>
        <w:tc>
          <w:tcPr>
            <w:tcW w:w="1276"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France</w:t>
            </w:r>
          </w:p>
        </w:tc>
        <w:tc>
          <w:tcPr>
            <w:tcW w:w="2833"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{"citationItems":[{"id":"ITEM-1","itemData":{"DOI":"10.1002/PATH.2948","ISSN":"1096-9896","PMID":"22025212","abstract":"The objective was to examine if IVF/ICSI repeated implantation failures (IF) or recurrent miscarriages (RM) could be related to preconceptional endometrial deregulations. IF was defined as the absence of pregnancy despite the transfer of at least ten IVF/ICSI good quality embryos, and RM as having at least three unexplained miscarriages. Fertile controls (FC) were women who had given birth at least once. Endometrial biopsy was performed in the mild luteal phase of a non-conceptual cycle (five women were selected in each group). Affymetrix chips (GeneChip Human Genome U133 Plus2.0 Array) were used for hybridization. Data were normalized by the gcRMA method, and raw p values adjusted by the Bonferroni procedure (1%). Differential expression of selected genes was analysed using real-time PCR. Gene networks and biological functions were explored using the Ingenuity Pathways Analysis software. Endometrial gene expression profiles at the time of uterine receptivity differ dramatically in the endometrium among FC, RM, and IF patients. Compared to FC, 2126 and 2477 genes are differentially expressed in IF and RM groups, respectively, and 2363 between IF and RM. In both conditions, differential gene expression referred mainly to DNA transcription and expression. Other main cellular functions deregulated in IF conditions correspond to cell morphology, cellular development, cell cycle, and cellular assembly, while in RM conditions, deregulated cellular functions relate to cell signalling (degradation of cyclic AMP and calcium metabolism) and cellular maintenance. In both conditions, there is an over-representation of deregulations related to the haematological system. In the IF condition, cell-mediated immune response and nervous system development and function are highly deregulated, while in RM patients, main deregulations are in organ and tissue development, humoral immune response, and muscular system development and function. Extensive endometrial deregulations are present before conception in patients who experienced IF or RM with both distinct and common deregulation. Copyright © 2011 Pathological Society of Great Britain and Ireland. Published by John Wiley &amp; Sons, Ltd.","author":[{"dropping-particle":"","family":"Lédée","given":"Nathalie","non-dropping-particle":"","parse-names":false,"suffix":""},{"dropping-particle":"","family":"Munaut","given":"Carine","non-dropping-particle":"","parse-names":false,"suffix":""},{"dropping-particle":"","family":"Aubert","given":"Julie","non-dropping-particle":"","parse-names":false,"suffix":""},{"dropping-particle":"","family":"Sérazin","given":"Valérie","non-dropping-particle":"","parse-names":false,"suffix":""},{"dropping-particle":"","family":"Rahmati","given":"Mona","non-dropping-particle":"","parse-names":false,"suffix":""},{"dropping-particle":"","family":"Chaouat","given":"Gérard","non-dropping-particle":"","parse-names":false,"suffix":""},{"dropping-particle":"","family":"Sandra","given":"Olivier","non-dropping-particle":"","parse-names":false,"suffix":""},{"dropping-particle":"","family":"Foidart","given":"Jean Michel","non-dropping-particle":"","parse-names":false,"suffix":""}],"container-title":"The Journal of pathology","id":"ITEM-1","issue":"4","issued":{"date-parts":[["2011"]]},"page":"554-564","publisher":"J Pathol","title":"Specific and extensive endometrial deregulation is present before conception in IVF/ICSI repeated implantation failures (IF) or recurrent miscarriages","type":"article-journal","volume":"225"},"uris":["http://www.mendeley.com/documents/?uuid=cebbb688-ed87-3a59-a210-d993342b74ef"]}],"mendeley":{"formattedCitation":"(Lédée &lt;i&gt;et al.&lt;/i&gt;, 2011)","plainTextFormattedCitation":"(Lédée et al., 2011)","previouslyFormattedCitation":"(Lédée &lt;i&gt;et al.&lt;/i&gt;, 2011)"},"properties":{"noteIndex":0},"schema":"https://github.com/citation-style-language/schema/raw/master/csl-citation.json"}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(Lédée </w:t>
            </w:r>
            <w:r>
              <w:rPr>
                <w:rFonts w:cs="Times New Roman" w:ascii="Times New Roman" w:hAnsi="Times New Roman"/>
                <w:i/>
                <w:sz w:val="22"/>
                <w:szCs w:val="22"/>
                <w:lang w:val="en-US"/>
              </w:rPr>
              <w:t>et al.</w:t>
            </w:r>
            <w:r>
              <w:rPr>
                <w:rFonts w:cs="Times New Roman" w:ascii="Times New Roman" w:hAnsi="Times New Roman"/>
                <w:sz w:val="22"/>
                <w:szCs w:val="22"/>
                <w:lang w:val="en-US"/>
              </w:rPr>
              <w:t>, 2011)</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r>
      <w:tr>
        <w:trPr>
          <w:trHeight w:val="238" w:hRule="atLeast"/>
        </w:trPr>
        <w:tc>
          <w:tcPr>
            <w:tcW w:w="1701" w:type="dxa"/>
            <w:tcBorders>
              <w:start w:val="single" w:sz="4" w:space="0" w:color="000000"/>
              <w:bottom w:val="single" w:sz="4" w:space="0" w:color="000000"/>
            </w:tcBorders>
          </w:tcPr>
          <w:p>
            <w:pPr>
              <w:pStyle w:val="Normal"/>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GSE58144 Cohort 1</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Bulk</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Array</w:t>
            </w:r>
          </w:p>
        </w:tc>
        <w:tc>
          <w:tcPr>
            <w:tcW w:w="1277"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 (23), RIF (22)</w:t>
            </w:r>
          </w:p>
        </w:tc>
        <w:tc>
          <w:tcPr>
            <w:tcW w:w="1275"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(Coughlan </w:t>
              <w:br/>
            </w:r>
            <w:r>
              <w:rPr>
                <w:rFonts w:cs="Times New Roman" w:ascii="Times New Roman" w:hAnsi="Times New Roman"/>
                <w:i/>
                <w:sz w:val="22"/>
                <w:szCs w:val="22"/>
                <w:lang w:val="en-US"/>
              </w:rPr>
              <w:t>et al.</w:t>
            </w:r>
            <w:r>
              <w:rPr>
                <w:rFonts w:cs="Times New Roman" w:ascii="Times New Roman" w:hAnsi="Times New Roman"/>
                <w:sz w:val="22"/>
                <w:szCs w:val="22"/>
                <w:lang w:val="en-US"/>
              </w:rPr>
              <w:t>, 2014)</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Natural</w:t>
            </w:r>
          </w:p>
        </w:tc>
        <w:tc>
          <w:tcPr>
            <w:tcW w:w="113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MS</w:t>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Controlled</w:t>
            </w:r>
          </w:p>
        </w:tc>
        <w:tc>
          <w:tcPr>
            <w:tcW w:w="99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Proved</w:t>
            </w:r>
          </w:p>
        </w:tc>
        <w:tc>
          <w:tcPr>
            <w:tcW w:w="1276"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Netherlands</w:t>
            </w:r>
          </w:p>
        </w:tc>
        <w:tc>
          <w:tcPr>
            <w:tcW w:w="2833"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{"citationItems":[{"id":"ITEM-1","itemData":{"DOI":"10.1038/SREP19411","ISSN":"2045-2322","PMID":"26797113","abstract":"The primary limiting factor for effective IVF treatment is successful embryo implantation. Recurrent implantation failure (RIF) is a condition whereby couples fail to achieve pregnancy despite consecutive embryo transfers. Here we describe the collection of gene expression profiles from mid-luteal phase endometrial biopsies (n = 115) from women experiencing RIF and healthy controls. Using a signature discovery set (n = 81) we identify a signature containing 303 genes predictive of RIF. Independent validation in 34 samples shows that the gene signature predicts RIF with 100% positive predictive value (PPV). The strength of the RIF associated expression signature also stratifies RIF patients into distinct groups with different subsequent implantation success rates. Exploration of the expression changes suggests that RIF is primarily associated with reduced cellular proliferation. The gene signature will be of value in counselling and guiding further treatment of women who fail to conceive upon IVF and suggests new avenues for developing intervention.","author":[{"dropping-particle":"","family":"Koot","given":"Yvonne E.M.","non-dropping-particle":"","parse-names":false,"suffix":""},{"dropping-particle":"","family":"Hooff","given":"Sander R.","non-dropping-particle":"Van","parse-names":false,"suffix":""},{"dropping-particle":"","family":"Boomsma","given":"Carolien M.","non-dropping-particle":"","parse-names":false,"suffix":""},{"dropping-particle":"","family":"Leenen","given":"Dik","non-dropping-particle":"Van","parse-names":false,"suffix":""},{"dropping-particle":"","family":"Koerkamp","given":"Marian J.A.Groot","non-dropping-particle":"","parse-names":false,"suffix":""},{"dropping-particle":"","family":"Goddijn","given":"Mariëtte","non-dropping-particle":"","parse-names":false,"suffix":""},{"dropping-particle":"","family":"Eijkemans","given":"Marinus J.C.","non-dropping-particle":"","parse-names":false,"suffix":""},{"dropping-particle":"","family":"Fauser","given":"Bart C.J.M.","non-dropping-particle":"","parse-names":false,"suffix":""},{"dropping-particle":"","family":"Holstege","given":"Frank C.P.","non-dropping-particle":"","parse-names":false,"suffix":""},{"dropping-particle":"","family":"Macklon","given":"Nick S.","non-dropping-particle":"","parse-names":false,"suffix":""}],"container-title":"Scientific reports","id":"ITEM-1","issued":{"date-parts":[["2016","1","22"]]},"publisher":"Sci Rep","title":"An endometrial gene expression signature accurately predicts recurrent implantation failure after IVF","type":"article-journal","volume":"6"},"uris":["http://www.mendeley.com/documents/?uuid=a8420d0a-f992-31fe-81d9-b449ac0107c6"]}],"mendeley":{"formattedCitation":"(Koot &lt;i&gt;et al.&lt;/i&gt;, 2016)","plainTextFormattedCitation":"(Koot et al., 2016)","previouslyFormattedCitation":"(Koot &lt;i&gt;et al.&lt;/i&gt;, 2016)"},"properties":{"noteIndex":0},"schema":"https://github.com/citation-style-language/schema/raw/master/csl-citation.json"}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(Koot </w:t>
            </w:r>
            <w:r>
              <w:rPr>
                <w:rFonts w:cs="Times New Roman" w:ascii="Times New Roman" w:hAnsi="Times New Roman"/>
                <w:i/>
                <w:sz w:val="22"/>
                <w:szCs w:val="22"/>
                <w:lang w:val="en-US"/>
              </w:rPr>
              <w:t>et al.</w:t>
            </w:r>
            <w:r>
              <w:rPr>
                <w:rFonts w:cs="Times New Roman" w:ascii="Times New Roman" w:hAnsi="Times New Roman"/>
                <w:sz w:val="22"/>
                <w:szCs w:val="22"/>
                <w:lang w:val="en-US"/>
              </w:rPr>
              <w:t>, 2016)</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r>
      <w:tr>
        <w:trPr>
          <w:trHeight w:val="238" w:hRule="atLeast"/>
        </w:trPr>
        <w:tc>
          <w:tcPr>
            <w:tcW w:w="1701" w:type="dxa"/>
            <w:tcBorders>
              <w:start w:val="single" w:sz="4" w:space="0" w:color="000000"/>
              <w:bottom w:val="single" w:sz="4" w:space="0" w:color="000000"/>
            </w:tcBorders>
          </w:tcPr>
          <w:p>
            <w:pPr>
              <w:pStyle w:val="Normal"/>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GSE58144 Cohort 2 batch 1</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Bulk</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Array</w:t>
            </w:r>
          </w:p>
        </w:tc>
        <w:tc>
          <w:tcPr>
            <w:tcW w:w="1277"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 (45), RIF (20)</w:t>
            </w:r>
          </w:p>
        </w:tc>
        <w:tc>
          <w:tcPr>
            <w:tcW w:w="1275"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(Coughlan </w:t>
              <w:br/>
            </w:r>
            <w:r>
              <w:rPr>
                <w:rFonts w:cs="Times New Roman" w:ascii="Times New Roman" w:hAnsi="Times New Roman"/>
                <w:i/>
                <w:sz w:val="22"/>
                <w:szCs w:val="22"/>
                <w:lang w:val="en-US"/>
              </w:rPr>
              <w:t>et al.</w:t>
            </w:r>
            <w:r>
              <w:rPr>
                <w:rFonts w:cs="Times New Roman" w:ascii="Times New Roman" w:hAnsi="Times New Roman"/>
                <w:sz w:val="22"/>
                <w:szCs w:val="22"/>
                <w:lang w:val="en-US"/>
              </w:rPr>
              <w:t>, 2014)</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Natural</w:t>
            </w:r>
          </w:p>
        </w:tc>
        <w:tc>
          <w:tcPr>
            <w:tcW w:w="113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MS</w:t>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Controlled</w:t>
            </w:r>
          </w:p>
        </w:tc>
        <w:tc>
          <w:tcPr>
            <w:tcW w:w="99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Proved</w:t>
            </w:r>
          </w:p>
        </w:tc>
        <w:tc>
          <w:tcPr>
            <w:tcW w:w="1276"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Netherlands</w:t>
            </w:r>
          </w:p>
        </w:tc>
        <w:tc>
          <w:tcPr>
            <w:tcW w:w="2833"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rPr/>
              <w:t>(Koot et al., 2016)</w:t>
            </w:r>
          </w:p>
        </w:tc>
      </w:tr>
      <w:tr>
        <w:trPr>
          <w:trHeight w:val="250" w:hRule="atLeast"/>
        </w:trPr>
        <w:tc>
          <w:tcPr>
            <w:tcW w:w="1701" w:type="dxa"/>
            <w:tcBorders>
              <w:start w:val="single" w:sz="4" w:space="0" w:color="000000"/>
              <w:bottom w:val="single" w:sz="4" w:space="0" w:color="000000"/>
            </w:tcBorders>
          </w:tcPr>
          <w:p>
            <w:pPr>
              <w:pStyle w:val="Normal"/>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GSE71331</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Bulk</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Array</w:t>
            </w:r>
          </w:p>
        </w:tc>
        <w:tc>
          <w:tcPr>
            <w:tcW w:w="1277"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 (5), RIF (7)</w:t>
            </w:r>
          </w:p>
        </w:tc>
        <w:tc>
          <w:tcPr>
            <w:tcW w:w="1275"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(Coughlan </w:t>
              <w:br/>
            </w:r>
            <w:r>
              <w:rPr>
                <w:rFonts w:cs="Times New Roman" w:ascii="Times New Roman" w:hAnsi="Times New Roman"/>
                <w:i/>
                <w:sz w:val="22"/>
                <w:szCs w:val="22"/>
                <w:lang w:val="en-US"/>
              </w:rPr>
              <w:t>et al.</w:t>
            </w:r>
            <w:r>
              <w:rPr>
                <w:rFonts w:cs="Times New Roman" w:ascii="Times New Roman" w:hAnsi="Times New Roman"/>
                <w:sz w:val="22"/>
                <w:szCs w:val="22"/>
                <w:lang w:val="en-US"/>
              </w:rPr>
              <w:t>, 2014)</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Natural</w:t>
            </w:r>
          </w:p>
        </w:tc>
        <w:tc>
          <w:tcPr>
            <w:tcW w:w="113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LH + 6~10</w:t>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Controlled</w:t>
            </w:r>
          </w:p>
        </w:tc>
        <w:tc>
          <w:tcPr>
            <w:tcW w:w="99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Proved</w:t>
            </w:r>
          </w:p>
        </w:tc>
        <w:tc>
          <w:tcPr>
            <w:tcW w:w="1276"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China</w:t>
            </w:r>
          </w:p>
        </w:tc>
        <w:tc>
          <w:tcPr>
            <w:tcW w:w="2833"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{"citationItems":[{"id":"ITEM-1","itemData":{"DOI":"10.1080/14647273.2017.1324180","ISSN":"1742-8149","PMID":"28523980","abstract":"High endometrial receptivity in the window of implantation (WOI) is essential for successful implantation. However, a diagnostic tool with high specificity for impaired endometrial receptivity remains to be developed. We collected endometrium specimens during the WOI from patients with RIF and women who conceived after one IVF/ICSI attempt. We conducted mRNA microarray on the samples followed by relevant comparative and functional analysis. Microarray analysis revealed 357 dysregulated mRNAs between the two groups. The majority of these mRNAs were found to encode membrane proteins by Gene Ontology (GO) analysis. The major functional biological pathways associated with the down-regulated mRNAs were cytokine-cytokine receptor interaction, the p53 signalling pathway and the complement and coagulation cascades. Up-regulated mRNAs were found mainly to participate in pathways such as PPAR signalling, hematopoietic cell lineage, phosphatidylinositol signalling system, ECM-receptor interaction and notch signalling. AQP3, DPP4 and TIMP3 whose expression patterns were down-regulated in RIF patients both by microarray and real-time PCR had a high correspondence with previous studies demonstrating that these genes may contribute to the defects in endometrial receptivity in RIF patients. Overall, these RIF-associated mRNAs may help devise new diagnostic tools for endometrial receptivity.","author":[{"dropping-particle":"","family":"Shi","given":"Cheng","non-dropping-particle":"","parse-names":false,"suffix":""},{"dropping-particle":"","family":"Han","given":"Hong Jing","non-dropping-particle":"","parse-names":false,"suffix":""},{"dropping-particle":"","family":"Fan","given":"Li Juan","non-dropping-particle":"","parse-names":false,"suffix":""},{"dropping-particle":"","family":"Guan","given":"Jing","non-dropping-particle":"","parse-names":false,"suffix":""},{"dropping-particle":"","family":"Zheng","given":"Xing Bang","non-dropping-particle":"","parse-names":false,"suffix":""},{"dropping-particle":"","family":"Chen","given":"Xi","non-dropping-particle":"","parse-names":false,"suffix":""},{"dropping-particle":"","family":"Liang","given":"Rong","non-dropping-particle":"","parse-names":false,"suffix":""},{"dropping-particle":"","family":"Zhang","given":"Xiao Wei","non-dropping-particle":"","parse-names":false,"suffix":""},{"dropping-particle":"","family":"Sun","given":"Kun Kun","non-dropping-particle":"","parse-names":false,"suffix":""},{"dropping-particle":"","family":"Cui","given":"Qing Hua","non-dropping-particle":"","parse-names":false,"suffix":""},{"dropping-particle":"","family":"Shen","given":"Huan","non-dropping-particle":"","parse-names":false,"suffix":""}],"container-title":"Human fertility (Cambridge, England)","id":"ITEM-1","issue":"3","issued":{"date-parts":[["2018","7","3"]]},"page":"183-194","publisher":"Hum Fertil (Camb)","title":"Diverse endometrial mRNA signatures during the window of implantation in patients with repeated implantation failure","type":"article-journal","volume":"21"},"uris":["http://www.mendeley.com/documents/?uuid=7a146a7c-e8ed-37c8-8c2b-e49dd7e4246d"]}],"mendeley":{"formattedCitation":"(Shi &lt;i&gt;et al.&lt;/i&gt;, 2018)","plainTextFormattedCitation":"(Shi et al., 2018)","previouslyFormattedCitation":"(Shi &lt;i&gt;et al.&lt;/i&gt;, 2018)"},"properties":{"noteIndex":0},"schema":"https://github.com/citation-style-language/schema/raw/master/csl-citation.json"}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(Shi </w:t>
            </w:r>
            <w:r>
              <w:rPr>
                <w:rFonts w:cs="Times New Roman" w:ascii="Times New Roman" w:hAnsi="Times New Roman"/>
                <w:i/>
                <w:sz w:val="22"/>
                <w:szCs w:val="22"/>
                <w:lang w:val="en-US"/>
              </w:rPr>
              <w:t>et al.</w:t>
            </w:r>
            <w:r>
              <w:rPr>
                <w:rFonts w:cs="Times New Roman" w:ascii="Times New Roman" w:hAnsi="Times New Roman"/>
                <w:sz w:val="22"/>
                <w:szCs w:val="22"/>
                <w:lang w:val="en-US"/>
              </w:rPr>
              <w:t>, 2018)</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r>
      <w:tr>
        <w:trPr>
          <w:trHeight w:val="238" w:hRule="atLeast"/>
        </w:trPr>
        <w:tc>
          <w:tcPr>
            <w:tcW w:w="1701" w:type="dxa"/>
            <w:tcBorders>
              <w:start w:val="single" w:sz="4" w:space="0" w:color="000000"/>
              <w:bottom w:val="single" w:sz="4" w:space="0" w:color="000000"/>
            </w:tcBorders>
          </w:tcPr>
          <w:p>
            <w:pPr>
              <w:pStyle w:val="Normal"/>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GSE92324</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Bulk</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Array</w:t>
            </w:r>
          </w:p>
        </w:tc>
        <w:tc>
          <w:tcPr>
            <w:tcW w:w="1277"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 (8), RIF (10)</w:t>
            </w:r>
          </w:p>
        </w:tc>
        <w:tc>
          <w:tcPr>
            <w:tcW w:w="1275"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{"citationItems":[{"id":"ITEM-1","itemData":{"abstract":"Recurrent implantation failure (RIF) is an iatrogenic condition, being the result of repetitive unsuccessful cycles of IVF or intracytoplasmic sperm injection (ICSI) treatment. The aim of this review was to assess the definitions of RIF used in literature as well as suggest a uniform definition of this condition. A systematic search of MEDLINE, Embase and Cochrane Library was conducted. The most commonly stated definitions described RIF as 'three or more failed treatment cycles' or 'two or more failed cycles'. Other identified definitions were based solely on the number of embryos transferred in previous cycles or combined the number of previously failed cycles with the number of transferred embryos. Several other definitions were also identified. This review highlights the lack of uniformity of the definition of RIF. Based on the available literature and the expert opinion of the authors, RIF should be defined as the absence of implantation after two consecutive cycles of IVF, ICSI or frozen embryo replacement cycles where the cumulative number of transferred embryos was no less than four for cleavage-stage embryos and no less than two for blastocysts, with all embryos being of good quality and of appropriate developmental stage. Recurrent implantation failure (RIF) is a condition resulting from repetitive unsuccessful cycles of IVF or intracytoplasmic sperm injection (ICSI) treatment. The aim of this review was to assess the definitions of RIF used in literature as well as suggest a uniform definition of this condition. A systematic search of MEDLINE, Embase and Cochrane Library was conducted. The most commonly stated definitions described RIF as 'three or more failed treatment IVF or ICSI cycles' or 'two or more' failed cycles. Other identified definitions were based only on the number of embryos transferred in previous cycles or combined the number of previously failed cycles with the number of transferred embryos. This review highlights the lack of consistency of the definition of recurrent implantation failure. Based on the available literature and the expert opinion of the authors, RIF should be defined as the absence of attachment of the embryo to the lining of the womb after two consecutive cycles of IVF, ICSI or frozen embryo replacement cycles where the cumulative number of transferred embryos was no less than four for day-2 embryos and no less than 2 for day-5 embryos (blastocysts), with all embryos being of good quality and of appropriate d…","author":[{"dropping-particle":"","family":"Polanski","given":"Lukasz T.","non-dropping-particle":"","parse-names":false,"suffix":""},{"dropping-particle":"","family":"Baumgarten","given":"Miriam N.","non-dropping-particle":"","parse-names":false,"suffix":""},{"dropping-particle":"","family":"Quenby","given":"Siobhan","non-dropping-particle":"","parse-names":false,"suffix":""},{"dropping-particle":"","family":"Brosens","given":"Jan","non-dropping-particle":"","parse-names":false,"suffix":""},{"dropping-particle":"","family":"Campbell","given":"Bruce K.","non-dropping-particle":"","parse-names":false,"suffix":""},{"dropping-particle":"","family":"Raine-Fenning","given":"Nicholas J.","non-dropping-particle":"","parse-names":false,"suffix":""}],"container-title":"Reproductive biomedicine online","id":"ITEM-1","issue":"4","issued":{"date-parts":[["2014"]]},"page":"409-423","publisher":"Reprod Biomed Online","title":"What exactly do we mean by 'recurrent implantation failure'? A systematic review and opinion","type":"article-journal","volume":"28"},"uris":["http://www.mendeley.com/documents/?uuid=03310c87-d4c3-34dc-a0f6-d2db7f7b8085"]}],"mendeley":{"formattedCitation":"(Polanski &lt;i&gt;et al.&lt;/i&gt;, 2014)","plainTextFormattedCitation":"(Polanski et al., 2014)","previouslyFormattedCitation":"(Polanski &lt;i&gt;et al.&lt;/i&gt;, 2014)"},"properties":{"noteIndex":0},"schema":"https://github.com/citation-style-language/schema/raw/master/csl-citation.json"}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(Polanski </w:t>
              <w:br/>
            </w:r>
            <w:r>
              <w:rPr>
                <w:rFonts w:cs="Times New Roman" w:ascii="Times New Roman" w:hAnsi="Times New Roman"/>
                <w:i/>
                <w:sz w:val="22"/>
                <w:szCs w:val="22"/>
                <w:lang w:val="en-US"/>
              </w:rPr>
              <w:t>et al.</w:t>
            </w:r>
            <w:r>
              <w:rPr>
                <w:rFonts w:cs="Times New Roman" w:ascii="Times New Roman" w:hAnsi="Times New Roman"/>
                <w:sz w:val="22"/>
                <w:szCs w:val="22"/>
                <w:lang w:val="en-US"/>
              </w:rPr>
              <w:t>, 2014)</w:t>
            </w:r>
            <w:r>
              <w:rPr>
                <w:rFonts w:cs="Times New Roman" w:ascii="Times New Roman" w:hAnsi="Times New Roman"/>
                <w:sz w:val="22"/>
                <w:szCs w:val="22"/>
                <w:lang w:val="en-US"/>
              </w:rPr>
            </w:r>
            <w:r>
              <w:rPr>
                <w:sz w:val="22"/>
                <w:szCs w:val="22"/>
                <w:rFonts w:cs="Times New Roman" w:ascii="Times New Roman" w:hAnsi="Times New Roman"/>
                <w:lang w:val="en-US"/>
              </w:rPr>
              <w:fldChar w:fldCharType="end"/>
            </w:r>
            <w:r>
              <w:fldChar w:fldCharType="begin"/>
            </w:r>
            <w:r>
              <w:rPr>
                <w:sz w:val="22"/>
                <w:szCs w:val="22"/>
                <w:rFonts w:cs="Times New Roman" w:ascii="Times New Roman" w:hAnsi="Times New Roman"/>
                <w:lang w:val="en-US"/>
              </w:rPr>
              <w:instrText xml:space="preserve">ADDIN CSL_CITATION {"citationItems":[{"id":"ITEM-1","itemData":{"abstract":"Recurrent implantation failure (RIF) is an iatrogenic condition, being the result of repetitive unsuccessful cycles of IVF or intracytoplasmic sperm injection (ICSI) treatment. The aim of this review was to assess the definitions of RIF used in literature as well as suggest a uniform definition of this condition. A systematic search of MEDLINE, Embase and Cochrane Library was conducted. The most commonly stated definitions described RIF as 'three or more failed treatment cycles' or 'two or more failed cycles'. Other identified definitions were based solely on the number of embryos transferred in previous cycles or combined the number of previously failed cycles with the number of transferred embryos. Several other definitions were also identified. This review highlights the lack of uniformity of the definition of RIF. Based on the available literature and the expert opinion of the authors, RIF should be defined as the absence of implantation after two consecutive cycles of IVF, ICSI or frozen embryo replacement cycles where the cumulative number of transferred embryos was no less than four for cleavage-stage embryos and no less than two for blastocysts, with all embryos being of good quality and of appropriate developmental stage. Recurrent implantation failure (RIF) is a condition resulting from repetitive unsuccessful cycles of IVF or intracytoplasmic sperm injection (ICSI) treatment. The aim of this review was to assess the definitions of RIF used in literature as well as suggest a uniform definition of this condition. A systematic search of MEDLINE, Embase and Cochrane Library was conducted. The most commonly stated definitions described RIF as 'three or more failed treatment IVF or ICSI cycles' or 'two or more' failed cycles. Other identified definitions were based only on the number of embryos transferred in previous cycles or combined the number of previously failed cycles with the number of transferred embryos. This review highlights the lack of consistency of the definition of recurrent implantation failure. Based on the available literature and the expert opinion of the authors, RIF should be defined as the absence of attachment of the embryo to the lining of the womb after two consecutive cycles of IVF, ICSI or frozen embryo replacement cycles where the cumulative number of transferred embryos was no less than four for day-2 embryos and no less than 2 for day-5 embryos (blastocysts), with all embryos being of good quality and of appropriate d…","author":[{"dropping-particle":"","family":"Polanski","given":"Lukasz T.","non-dropping-particle":"","parse-names":false,"suffix":""},{"dropping-particle":"","family":"Baumgarten","given":"Miriam N.","non-dropping-particle":"","parse-names":false,"suffix":""},{"dropping-particle":"","family":"Quenby","given":"Siobhan","non-dropping-particle":"","parse-names":false,"suffix":""},{"dropping-particle":"","family":"Brosens","given":"Jan","non-dropping-particle":"","parse-names":false,"suffix":""},{"dropping-particle":"","family":"Campbell","given":"Bruce K.","non-dropping-particle":"","parse-names":false,"suffix":""},{"dropping-particle":"","family":"Raine-Fenning","given":"Nicholas J.","non-dropping-particle":"","parse-names":false,"suffix":""}],"container-title":"Reproductive biomedicine online","id":"ITEM-1","issue":"4","issued":{"date-parts":[["2014"]]},"page":"409-423","publisher":"Reprod Biomed Online","title":"What exactly do we mean by 'recurrent implantation failure'? A systematic review and opinion","type":"article-journal","volume":"28"},"uris":["http://www.mendeley.com/documents/?uuid=03310c87-d4c3-34dc-a0f6-d2db7f7b8085"]}],"mendeley":{"formattedCitation":"(Polanski &lt;i&gt;et al.&lt;/i&gt;, 2014)","plainTextFormattedCitation":"(Polanski et al., 2014)","previouslyFormattedCitation":"(Polanski &lt;i&gt;et al.&lt;/i&gt;, 2014)"},"properties":{"noteIndex":0},"schema":"https://github.com/citation-style-language/schema/raw/master/csl-citation.json"}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Artificial</w:t>
            </w:r>
          </w:p>
        </w:tc>
        <w:tc>
          <w:tcPr>
            <w:tcW w:w="113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P4 + 4</w:t>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Controlled</w:t>
            </w:r>
          </w:p>
        </w:tc>
        <w:tc>
          <w:tcPr>
            <w:tcW w:w="99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Proved</w:t>
            </w:r>
          </w:p>
        </w:tc>
        <w:tc>
          <w:tcPr>
            <w:tcW w:w="1276"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India</w:t>
            </w:r>
          </w:p>
        </w:tc>
        <w:tc>
          <w:tcPr>
            <w:tcW w:w="2833"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{"citationItems":[{"id":"ITEM-1","itemData":{"DOI":"10.1111/AJI.12679","ISSN":"1600-0897","PMID":"28370781","abstract":"Problem: Implantation failure (IF) even after the good-quality embryo transfer (ET) is main obstacle in in vitro fertilization (IVF). We aim to study the genomics of endometrial receptivity in IF patients under controlled ovarian stimulation (COS) during which ET is generally practised in IVF. Method of study: Endometrial gene expression profiling in IF patients (n=10) and oocyte donors (n=8) were compared during window of implantation under COS by microarray. Enrichment analysis of microarray data was performed to determine dysregulated pathways. Microarray results were validated by real-time PCR. Localization of genes related to immune response (progestagen-associated endometrial protein (PAEP), leukaemia inhibitory factor (LIF), interleukin-6 signal transducer (IL6ST) was detected by immunohistochemistry. Results: The gene ontology, pathway analysis and enrichment mapping revealed significant downregulation in activation and regulation of immune and inflammation response in IF patients under COS. The lower expression of PAEP, LIF and IL6ST in cases compared to controls by real time and immunohistochemistry suggests the functional importance of these genes. Conclusion: Importance of immune and inflammatory response in endometrial receptivity adds on to the current knowledge of gene expression profile in IF under COS. The panel of genes involved in these pathways would be useful in determining further line of treatment for IF during IVF.","author":[{"dropping-particle":"","family":"Pathare","given":"Amruta D.S.","non-dropping-particle":"","parse-names":false,"suffix":""},{"dropping-particle":"","family":"Zaveri","given":"Kusum","non-dropping-particle":"","parse-names":false,"suffix":""},{"dropping-particle":"","family":"Hinduja","given":"Indira","non-dropping-particle":"","parse-names":false,"suffix":""}],"container-title":"American journal of reproductive immunology (New York, N.Y. : 1989)","id":"ITEM-1","issue":"1","issued":{"date-parts":[["2017","7","1"]]},"publisher":"Am J Reprod Immunol","title":"Downregulation of genes related to immune and inflammatory response in IVF implantation failure cases under controlled ovarian stimulation","type":"article-journal","volume":"78"},"uris":["http://www.mendeley.com/documents/?uuid=9e21f3e6-b2e5-326c-b48c-010c124ebbf6"]}],"mendeley":{"formattedCitation":"(Pathare &lt;i&gt;et al.&lt;/i&gt;, 2017)","plainTextFormattedCitation":"(Pathare et al., 2017)","previouslyFormattedCitation":"(Pathare &lt;i&gt;et al.&lt;/i&gt;, 2017)"},"properties":{"noteIndex":0},"schema":"https://github.com/citation-style-language/schema/raw/master/csl-citation.json"}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(Pathare </w:t>
            </w:r>
            <w:r>
              <w:rPr>
                <w:rFonts w:cs="Times New Roman" w:ascii="Times New Roman" w:hAnsi="Times New Roman"/>
                <w:i/>
                <w:sz w:val="22"/>
                <w:szCs w:val="22"/>
                <w:lang w:val="en-US"/>
              </w:rPr>
              <w:t>et al.</w:t>
            </w:r>
            <w:r>
              <w:rPr>
                <w:rFonts w:cs="Times New Roman" w:ascii="Times New Roman" w:hAnsi="Times New Roman"/>
                <w:sz w:val="22"/>
                <w:szCs w:val="22"/>
                <w:lang w:val="en-US"/>
              </w:rPr>
              <w:t>, 2017)</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r>
      <w:tr>
        <w:trPr>
          <w:trHeight w:val="345" w:hRule="atLeast"/>
        </w:trPr>
        <w:tc>
          <w:tcPr>
            <w:tcW w:w="1701" w:type="dxa"/>
            <w:tcBorders>
              <w:start w:val="single" w:sz="4" w:space="0" w:color="000000"/>
              <w:bottom w:val="single" w:sz="4" w:space="0" w:color="000000"/>
            </w:tcBorders>
          </w:tcPr>
          <w:p>
            <w:pPr>
              <w:pStyle w:val="Normal"/>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PRJNA1141235</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Single cells</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RNA-seq</w:t>
            </w:r>
          </w:p>
        </w:tc>
        <w:tc>
          <w:tcPr>
            <w:tcW w:w="1277"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 (4), RIF (4)</w:t>
            </w:r>
          </w:p>
        </w:tc>
        <w:tc>
          <w:tcPr>
            <w:tcW w:w="1275"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(Coughlan </w:t>
              <w:br/>
            </w:r>
            <w:r>
              <w:rPr>
                <w:rFonts w:cs="Times New Roman" w:ascii="Times New Roman" w:hAnsi="Times New Roman"/>
                <w:i/>
                <w:sz w:val="22"/>
                <w:szCs w:val="22"/>
                <w:lang w:val="en-US"/>
              </w:rPr>
              <w:t>et al.</w:t>
            </w:r>
            <w:r>
              <w:rPr>
                <w:rFonts w:cs="Times New Roman" w:ascii="Times New Roman" w:hAnsi="Times New Roman"/>
                <w:sz w:val="22"/>
                <w:szCs w:val="22"/>
                <w:lang w:val="en-US"/>
              </w:rPr>
              <w:t>, 2014)</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Natural</w:t>
            </w:r>
          </w:p>
        </w:tc>
        <w:tc>
          <w:tcPr>
            <w:tcW w:w="113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LP, MS</w:t>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Controlled</w:t>
            </w:r>
          </w:p>
        </w:tc>
        <w:tc>
          <w:tcPr>
            <w:tcW w:w="99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Proved</w:t>
            </w:r>
          </w:p>
        </w:tc>
        <w:tc>
          <w:tcPr>
            <w:tcW w:w="1276"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China</w:t>
            </w:r>
          </w:p>
        </w:tc>
        <w:tc>
          <w:tcPr>
            <w:tcW w:w="2833"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{"citationItems":[{"id":"ITEM-1","itemData":{"DOI":"10.1186/S12958-024-01263-1","ISSN":"1477-7827","PMID":"39085925","abstract":"Background: Reduced endometrium thickness and receptivity are two important reasons for recurrent implantation failure (RIF). In order to elucidate differences between these two types of endometrial defects in terms of molecular signatures, cellular interactions, and structural changes, we systematically investigated the single-cell transcriptomic atlas across three distinct groups: RIF patients with thin endometrium (≤ 6 mm, TE-RIF), RIF patients with normal endometrium thickness (≥ 8 mm, NE-RIF), and fertile individuals (Control). Methods: The late proliferative and mid-secretory phases of the endometrium were collected from three individuals in the TE-RIF group, two in the NE-RIF group, and three in the control group. The study employed a combination of advanced techniques. Single-cell RNA sequencing (scRNA-seq) was utilized to capture comprehensive transcriptomic profiles at the single-cell level, providing insights into gene expression patterns within specific cell types. Scanning and transmission electron microscopy were employed to visualize ultrastructural details of the endometrial tissue, while hematoxylin and eosin staining facilitated the examination of tissue morphology and cellular composition. Immunohistochemistry techniques were also applied to detect and localize specific protein markers relevant to endometrial receptivity and function. Results: Through comparative analysis of differentially expressed genes among these groups and KEGG pathway analysis, the TE-RIF group exhibited notable dysregulations in the TNF and MAPK signaling pathways, which are pivotal in stromal cell growth and endometrial receptivity. Conversely, in the NE-RIF group, disturbances in energy metabolism emerged as a primary contributor to reduced endometrial receptivity. Additionally, using CellPhoneDB for intercellular communication analysis revealed aberrant interactions between epithelial and stromal cells, impacting endometrial receptivity specifically in the TE-RIF group. Conclusion: Overall, our findings provide valuable insights into the heterogeneous molecular pathways and cellular interactions associated with RIF in different endometrial conditions. These insights may pave the way for targeted therapeutic interventions aimed at improving endometrial receptivity and enhancing reproductive outcomes in patients undergoing ART. Further research is warranted to validate these findings and translate them into clinical applications for personalized fertility trea…","author":[{"dropping-particle":"","family":"Fu","given":"Xiaoying","non-dropping-particle":"","parse-names":false,"suffix":""},{"dropping-particle":"","family":"Guo","given":"Xiaoyan","non-dropping-particle":"","parse-names":false,"suffix":""},{"dropping-particle":"","family":"Xu","given":"Han","non-dropping-particle":"","parse-names":false,"suffix":""},{"dropping-particle":"","family":"Li","given":"Yini","non-dropping-particle":"","parse-names":false,"suffix":""},{"dropping-particle":"","family":"Jin","given":"Bihui","non-dropping-particle":"","parse-names":false,"suffix":""},{"dropping-particle":"","family":"Zhang","given":"Xirong","non-dropping-particle":"","parse-names":false,"suffix":""},{"dropping-particle":"","family":"Shu","given":"Chongyi","non-dropping-particle":"","parse-names":false,"suffix":""},{"dropping-particle":"","family":"Fan","given":"Yuhang","non-dropping-particle":"","parse-names":false,"suffix":""},{"dropping-particle":"","family":"Yu","given":"Yiqi","non-dropping-particle":"","parse-names":false,"suffix":""},{"dropping-particle":"","family":"Tian","given":"Yuqing","non-dropping-particle":"","parse-names":false,"suffix":""},{"dropping-particle":"","family":"Tian","given":"Jiao","non-dropping-particle":"","parse-names":false,"suffix":""},{"dropping-particle":"","family":"Shu","given":"Jing","non-dropping-particle":"","parse-names":false,"suffix":""}],"container-title":"Reproductive biology and endocrinology : RB&amp;E","id":"ITEM-1","issue":"1","issued":{"date-parts":[["2024","12","1"]]},"publisher":"Reprod Biol Endocrinol","title":"Varied cellular abnormalities in thin vs. normal endometrium in recurrent implantation failure by single-cell transcriptomics","type":"article-journal","volume":"22"},"uris":["http://www.mendeley.com/documents/?uuid=927d3470-edc8-3d58-9951-43991eb3ed08"]}],"mendeley":{"formattedCitation":"(Fu &lt;i&gt;et al.&lt;/i&gt;, 2024)","plainTextFormattedCitation":"(Fu et al., 2024)","previouslyFormattedCitation":"(Fu &lt;i&gt;et al.&lt;/i&gt;, 2024)"},"properties":{"noteIndex":0},"schema":"https://github.com/citation-style-language/schema/raw/master/csl-citation.json"}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(Fu </w:t>
            </w:r>
            <w:r>
              <w:rPr>
                <w:rFonts w:cs="Times New Roman" w:ascii="Times New Roman" w:hAnsi="Times New Roman"/>
                <w:i/>
                <w:sz w:val="22"/>
                <w:szCs w:val="22"/>
                <w:lang w:val="en-US"/>
              </w:rPr>
              <w:t>et al.</w:t>
            </w:r>
            <w:r>
              <w:rPr>
                <w:rFonts w:cs="Times New Roman" w:ascii="Times New Roman" w:hAnsi="Times New Roman"/>
                <w:sz w:val="22"/>
                <w:szCs w:val="22"/>
                <w:lang w:val="en-US"/>
              </w:rPr>
              <w:t>, 2024)</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r>
      <w:tr>
        <w:trPr>
          <w:trHeight w:val="345" w:hRule="atLeast"/>
        </w:trPr>
        <w:tc>
          <w:tcPr>
            <w:tcW w:w="1701" w:type="dxa"/>
            <w:tcBorders>
              <w:start w:val="single" w:sz="4" w:space="0" w:color="000000"/>
              <w:bottom w:val="single" w:sz="4" w:space="0" w:color="000000"/>
            </w:tcBorders>
          </w:tcPr>
          <w:p>
            <w:pPr>
              <w:pStyle w:val="Normal"/>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PRJNA314429</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Bulk</w:t>
            </w:r>
          </w:p>
        </w:tc>
        <w:tc>
          <w:tcPr>
            <w:tcW w:w="992"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RNA-seq</w:t>
            </w:r>
          </w:p>
        </w:tc>
        <w:tc>
          <w:tcPr>
            <w:tcW w:w="1277"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 (3), RIF (5)</w:t>
            </w:r>
          </w:p>
        </w:tc>
        <w:tc>
          <w:tcPr>
            <w:tcW w:w="1275" w:type="dxa"/>
            <w:tcBorders>
              <w:start w:val="single" w:sz="4" w:space="0" w:color="000000"/>
              <w:bottom w:val="single" w:sz="4" w:space="0" w:color="000000"/>
              <w:end w:val="single" w:sz="4" w:space="0" w:color="000000"/>
            </w:tcBorders>
          </w:tcPr>
          <w:p>
            <w:pPr>
              <w:pStyle w:val="Style18"/>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(Coughlan </w:t>
              <w:br/>
            </w:r>
            <w:r>
              <w:rPr>
                <w:rFonts w:cs="Times New Roman" w:ascii="Times New Roman" w:hAnsi="Times New Roman"/>
                <w:i/>
                <w:sz w:val="22"/>
                <w:szCs w:val="22"/>
                <w:lang w:val="en-US"/>
              </w:rPr>
              <w:t>et al.</w:t>
            </w:r>
            <w:r>
              <w:rPr>
                <w:rFonts w:cs="Times New Roman" w:ascii="Times New Roman" w:hAnsi="Times New Roman"/>
                <w:sz w:val="22"/>
                <w:szCs w:val="22"/>
                <w:lang w:val="en-US"/>
              </w:rPr>
              <w:t>, 2014)</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Natural</w:t>
            </w:r>
          </w:p>
        </w:tc>
        <w:tc>
          <w:tcPr>
            <w:tcW w:w="113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LH + 7</w:t>
            </w:r>
          </w:p>
        </w:tc>
        <w:tc>
          <w:tcPr>
            <w:tcW w:w="1134"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Controlled</w:t>
            </w:r>
          </w:p>
        </w:tc>
        <w:tc>
          <w:tcPr>
            <w:tcW w:w="993"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Proved</w:t>
            </w:r>
          </w:p>
        </w:tc>
        <w:tc>
          <w:tcPr>
            <w:tcW w:w="1276" w:type="dxa"/>
            <w:tcBorders>
              <w:start w:val="single" w:sz="4" w:space="0" w:color="000000"/>
              <w:bottom w:val="single" w:sz="4" w:space="0" w:color="000000"/>
            </w:tcBorders>
          </w:tcPr>
          <w:p>
            <w:pPr>
              <w:pStyle w:val="Style18"/>
              <w:spacing w:lineRule="auto" w:line="312"/>
              <w:rPr>
                <w:rFonts w:ascii="Times New Roman" w:hAnsi="Times New Roman" w:cs="Times New Roman"/>
                <w:sz w:val="22"/>
                <w:szCs w:val="22"/>
                <w:lang w:val="en-US"/>
              </w:rPr>
            </w:pPr>
            <w:r>
              <w:rPr>
                <w:rFonts w:cs="Times New Roman" w:ascii="Times New Roman" w:hAnsi="Times New Roman"/>
                <w:sz w:val="22"/>
                <w:szCs w:val="22"/>
                <w:lang w:val="en-US"/>
              </w:rPr>
              <w:t>China</w:t>
            </w:r>
          </w:p>
        </w:tc>
        <w:tc>
          <w:tcPr>
            <w:tcW w:w="2833" w:type="dxa"/>
            <w:tcBorders>
              <w:start w:val="single" w:sz="4" w:space="0" w:color="000000"/>
              <w:bottom w:val="single" w:sz="4" w:space="0" w:color="000000"/>
              <w:end w:val="single" w:sz="4" w:space="0" w:color="000000"/>
            </w:tcBorders>
          </w:tcPr>
          <w:p>
            <w:pPr>
              <w:pStyle w:val="Style18"/>
              <w:tabs>
                <w:tab w:val="clear" w:pos="709"/>
                <w:tab w:val="left" w:pos="720" w:leader="none"/>
              </w:tabs>
              <w:spacing w:lineRule="auto" w:line="312"/>
              <w:rPr>
                <w:rFonts w:ascii="Times New Roman" w:hAnsi="Times New Roman" w:cs="Times New Roman"/>
                <w:sz w:val="22"/>
                <w:szCs w:val="22"/>
                <w:lang w:val="en-US"/>
              </w:rPr>
            </w:pPr>
            <w:r>
              <w:fldChar w:fldCharType="begin"/>
            </w:r>
            <w:r>
              <w:rPr>
                <w:sz w:val="22"/>
                <w:szCs w:val="22"/>
                <w:rFonts w:cs="Times New Roman" w:ascii="Times New Roman" w:hAnsi="Times New Roman"/>
                <w:lang w:val="en-US"/>
              </w:rPr>
              <w:instrText xml:space="preserve">ADDIN CSL_CITATION {"citationItems":[{"id":"ITEM-1","itemData":{"DOI":"10.1530/REP-16-0574","ISSN":"1741-7899","PMID":"28283674","abstract":"The endometrium becomes receptive to the embryo only in the mid-luteal phase, but not in the other stages of the menstrual cycle. Endometrial factors play an important role in implantation. Women with recurrent miscarriage and recurrent implantation failure have both been reported to have altered expression of receptivity markers during the window of implantation. We aimed to compare the gene expression profiles of the endometrium in the window of implantation among women with unexplained recurrent implantation failures (RIF) and unexplained recurrent miscarriages (RM) by RNA sequencing (RNA-Seq). In total 20 patients (9 RIF and 11 RM) were recruited. In addition 4 fertile subjects were included as reference. Endometrium samples were precisely timed on the 7th day after luteal hormone surge (LH + 7). All the 24 endometrium samples were extracted for total RNA. The transcriptome was determined by RNA-Seq in the first 14 RNA samples (5 RIF, 6 RM and 3 fertile). Differentially expressed genes between RM and RIF were validated by quantitative real-time PCR (qPCR) in all 24 RNA samples (9 RIF, 11 RM and 4 fertile). Transcriptomic profiles of RM and RIF, but not control samples, were separated from each other by principle component analysis (PCA) and support vector machine (SVM). Complementary and coagulation cascades pathway was significantly up-regulated in RIF while down-regulated in RM. Differentially expressed genes C3, C4, C4BP, DAF, DF and SERPING1 in complement and coagulation cascade pathway between RM and RIF were further validated by qPCR. This study compared endometrial transcriptome among patients with RIF and RM in the window of implantation; it identified differential molecular pathways in endometrium between RIF and RM, which potentially affect the implantation process.","author":[{"dropping-particle":"","family":"Huang","given":"Jin","non-dropping-particle":"","parse-names":false,"suffix":""},{"dropping-particle":"","family":"Qin","given":"Hao","non-dropping-particle":"","parse-names":false,"suffix":""},{"dropping-particle":"","family":"Yang","given":"Yihua","non-dropping-particle":"","parse-names":false,"suffix":""},{"dropping-particle":"","family":"Chen","given":"Xiaoyan","non-dropping-particle":"","parse-names":false,"suffix":""},{"dropping-particle":"","family":"Zhang","given":"Jiamiao","non-dropping-particle":"","parse-names":false,"suffix":""},{"dropping-particle":"","family":"Laird","given":"Susan","non-dropping-particle":"","parse-names":false,"suffix":""},{"dropping-particle":"","family":"Wang","given":"Chi Chiu","non-dropping-particle":"","parse-names":false,"suffix":""},{"dropping-particle":"","family":"Chan","given":"Ting Fung","non-dropping-particle":"","parse-names":false,"suffix":""},{"dropping-particle":"","family":"Li","given":"Tin Chiu","non-dropping-particle":"","parse-names":false,"suffix":""}],"container-title":"Reproduction (Cambridge, England)","id":"ITEM-1","issue":"6","issued":{"date-parts":[["2017"]]},"page":"749-758","publisher":"Reproduction","title":"A comparison of transcriptomic profiles in endometrium during window of implantation between women with unexplained recurrent implantation failure and recurrent miscarriage","type":"article-journal","volume":"153"},"uris":["http://www.mendeley.com/documents/?uuid=fca5f699-a3e9-3438-8584-eb0752a08893"]}],"mendeley":{"formattedCitation":"(Huang &lt;i&gt;et al.&lt;/i&gt;, 2017)","plainTextFormattedCitation":"(Huang et al., 2017)","previouslyFormattedCitation":"(Huang &lt;i&gt;et al.&lt;/i&gt;, 2017)"},"properties":{"noteIndex":0},"schema":"https://github.com/citation-style-language/schema/raw/master/csl-citation.json"}</w:instrText>
            </w:r>
            <w:r>
              <w:rPr>
                <w:rFonts w:cs="Times New Roman" w:ascii="Times New Roman" w:hAnsi="Times New Roman"/>
                <w:sz w:val="22"/>
                <w:szCs w:val="22"/>
                <w:lang w:val="en-US"/>
              </w:rPr>
            </w:r>
            <w:r>
              <w:rPr>
                <w:sz w:val="22"/>
                <w:szCs w:val="22"/>
                <w:rFonts w:cs="Times New Roman" w:ascii="Times New Roman" w:hAnsi="Times New Roman"/>
                <w:lang w:val="en-US"/>
              </w:rPr>
              <w:fldChar w:fldCharType="separate"/>
            </w:r>
            <w:r>
              <w:rPr>
                <w:rFonts w:cs="Times New Roman" w:ascii="Times New Roman" w:hAnsi="Times New Roman"/>
                <w:sz w:val="22"/>
                <w:szCs w:val="22"/>
                <w:lang w:val="en-US"/>
              </w:rPr>
              <w:t xml:space="preserve">(Huang </w:t>
            </w:r>
            <w:r>
              <w:rPr>
                <w:rFonts w:cs="Times New Roman" w:ascii="Times New Roman" w:hAnsi="Times New Roman"/>
                <w:i/>
                <w:sz w:val="22"/>
                <w:szCs w:val="22"/>
                <w:lang w:val="en-US"/>
              </w:rPr>
              <w:t>et al.</w:t>
            </w:r>
            <w:r>
              <w:rPr>
                <w:rFonts w:cs="Times New Roman" w:ascii="Times New Roman" w:hAnsi="Times New Roman"/>
                <w:sz w:val="22"/>
                <w:szCs w:val="22"/>
                <w:lang w:val="en-US"/>
              </w:rPr>
              <w:t>, 2017)</w:t>
            </w:r>
            <w:r/>
            <w:r>
              <w:rPr>
                <w:sz w:val="22"/>
                <w:szCs w:val="22"/>
                <w:rFonts w:cs="Times New Roman" w:ascii="Times New Roman" w:hAnsi="Times New Roman"/>
                <w:lang w:val="en-US"/>
              </w:rPr>
              <w:fldChar w:fldCharType="end"/>
            </w:r>
            <w:r>
              <w:rPr>
                <w:rFonts w:cs="Times New Roman" w:ascii="Times New Roman" w:hAnsi="Times New Roman"/>
                <w:sz w:val="22"/>
                <w:szCs w:val="22"/>
                <w:lang w:val="en-US"/>
              </w:rPr>
            </w:r>
          </w:p>
        </w:tc>
      </w:tr>
    </w:tbl>
    <w:p>
      <w:pPr>
        <w:pStyle w:val="Normal"/>
        <w:spacing w:lineRule="auto" w:line="360" w:before="170" w:after="170"/>
        <w:jc w:val="both"/>
        <w:rPr>
          <w:rFonts w:ascii="Times New Roman" w:hAnsi="Times New Roman" w:cs="Times New Roman"/>
          <w:b/>
          <w:bCs/>
          <w:lang w:val="en-US"/>
        </w:rPr>
      </w:pPr>
      <w:r>
        <w:rPr>
          <w:rFonts w:cs="Times New Roman" w:ascii="Times New Roman" w:hAnsi="Times New Roman"/>
          <w:lang w:val="en-US"/>
        </w:rPr>
        <w:t xml:space="preserve">LH – luteinizing hormone, LS – late secretory phase, MS – mid secretory phase, </w:t>
      </w:r>
      <w:r>
        <w:rPr>
          <w:rFonts w:cs="Times New Roman" w:ascii="Times New Roman" w:hAnsi="Times New Roman"/>
          <w:sz w:val="22"/>
          <w:szCs w:val="22"/>
          <w:lang w:val="en-US"/>
        </w:rPr>
        <w:t xml:space="preserve">P4 </w:t>
      </w:r>
      <w:r>
        <w:rPr>
          <w:rFonts w:cs="Times New Roman" w:ascii="Times New Roman" w:hAnsi="Times New Roman"/>
          <w:lang w:val="en-US"/>
        </w:rPr>
        <w:t>– progesterone supplementation.</w:t>
      </w:r>
    </w:p>
    <w:sectPr>
      <w:type w:val="nextPage"/>
      <w:pgSz w:orient="landscape" w:w="16838" w:h="11906"/>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 w:name="Times New Roman">
    <w:charset w:val="01" w:characterSet="utf-8"/>
    <w:family w:val="roman"/>
    <w:pitch w:val="variable"/>
  </w:font>
</w:fonts>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ru-RU" w:eastAsia="zh-CN" w:bidi="hi-IN"/>
    </w:rPr>
  </w:style>
  <w:style w:type="character" w:styleId="DefaultParagraphFont" w:default="1">
    <w:name w:val="Default Paragraph Font"/>
    <w:uiPriority w:val="1"/>
    <w:semiHidden/>
    <w:unhideWhenUsed/>
    <w:qFormat/>
    <w:rPr/>
  </w:style>
  <w:style w:type="character" w:styleId="Style14" w:customStyle="1">
    <w:name w:val="Символ концевой сноски"/>
    <w:qFormat/>
    <w:rPr>
      <w:vertAlign w:val="superscript"/>
    </w:rPr>
  </w:style>
  <w:style w:type="character" w:styleId="EndnoteReference">
    <w:name w:val="Endnote Reference"/>
    <w:rPr>
      <w:vertAlign w:val="superscript"/>
    </w:rPr>
  </w:style>
  <w:style w:type="character" w:styleId="Hyperlink">
    <w:name w:val="Hyperlink"/>
    <w:rPr>
      <w:color w:val="000080"/>
      <w:u w:val="single"/>
    </w:rPr>
  </w:style>
  <w:style w:type="character" w:styleId="Style15" w:customStyle="1">
    <w:name w:val="Символ нумерации"/>
    <w:qFormat/>
    <w:rPr/>
  </w:style>
  <w:style w:type="character" w:styleId="authors" w:customStyle="1">
    <w:name w:val="authors"/>
    <w:basedOn w:val="DefaultParagraphFont"/>
    <w:qFormat/>
    <w:rsid w:val="00117de7"/>
    <w:rPr/>
  </w:style>
  <w:style w:type="character" w:styleId="1" w:customStyle="1">
    <w:name w:val="Заголовок1"/>
    <w:basedOn w:val="DefaultParagraphFont"/>
    <w:qFormat/>
    <w:rsid w:val="00117de7"/>
    <w:rPr/>
  </w:style>
  <w:style w:type="character" w:styleId="source" w:customStyle="1">
    <w:name w:val="source"/>
    <w:basedOn w:val="DefaultParagraphFont"/>
    <w:qFormat/>
    <w:rsid w:val="00117de7"/>
    <w:rPr/>
  </w:style>
  <w:style w:type="character" w:styleId="UnresolvedMention">
    <w:name w:val="Unresolved Mention"/>
    <w:basedOn w:val="DefaultParagraphFont"/>
    <w:uiPriority w:val="99"/>
    <w:semiHidden/>
    <w:unhideWhenUsed/>
    <w:qFormat/>
    <w:rsid w:val="00de65f2"/>
    <w:rPr>
      <w:color w:val="605E5C"/>
      <w:shd w:fill="E1DFDD" w:val="clear"/>
    </w:rPr>
  </w:style>
  <w:style w:type="paragraph" w:styleId="Style16">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Style17">
    <w:name w:val="Указатель"/>
    <w:basedOn w:val="Normal"/>
    <w:qFormat/>
    <w:pPr>
      <w:suppressLineNumbers/>
    </w:pPr>
    <w:rPr>
      <w:rFonts w:cs="Noto Sans Devanagari"/>
    </w:rPr>
  </w:style>
  <w:style w:type="paragraph" w:styleId="Title">
    <w:name w:val="Title"/>
    <w:basedOn w:val="Normal"/>
    <w:next w:val="BodyText"/>
    <w:uiPriority w:val="10"/>
    <w:qFormat/>
    <w:pPr>
      <w:keepNext w:val="true"/>
      <w:spacing w:before="240" w:after="120"/>
    </w:pPr>
    <w:rPr>
      <w:rFonts w:ascii="Liberation Sans" w:hAnsi="Liberation Sans" w:eastAsia="Noto Sans CJK SC"/>
      <w:sz w:val="28"/>
      <w:szCs w:val="28"/>
    </w:rPr>
  </w:style>
  <w:style w:type="paragraph" w:styleId="IndexHeading">
    <w:name w:val="Index Heading"/>
    <w:basedOn w:val="Normal"/>
    <w:qFormat/>
    <w:pPr>
      <w:suppressLineNumbers/>
    </w:pPr>
    <w:rPr/>
  </w:style>
  <w:style w:type="paragraph" w:styleId="EndnoteText">
    <w:name w:val="Endnote Text"/>
    <w:basedOn w:val="Normal"/>
    <w:pPr>
      <w:suppressLineNumbers/>
      <w:ind w:hanging="340" w:start="340"/>
    </w:pPr>
    <w:rPr>
      <w:sz w:val="20"/>
      <w:szCs w:val="20"/>
    </w:rPr>
  </w:style>
  <w:style w:type="paragraph" w:styleId="Style18" w:customStyle="1">
    <w:name w:val="Содержимое таблицы"/>
    <w:basedOn w:val="Normal"/>
    <w:qFormat/>
    <w:pPr>
      <w:widowControl w:val="false"/>
      <w:suppressLineNumbers/>
    </w:pPr>
    <w:rPr/>
  </w:style>
  <w:style w:type="paragraph" w:styleId="Style19" w:customStyle="1">
    <w:name w:val="Заголовок таблицы"/>
    <w:basedOn w:val="Style18"/>
    <w:qFormat/>
    <w:pPr>
      <w:jc w:val="center"/>
    </w:pPr>
    <w:rPr>
      <w:b/>
      <w:bCs/>
    </w:rPr>
  </w:style>
  <w:style w:type="paragraph" w:styleId="ListParagraph">
    <w:name w:val="List Paragraph"/>
    <w:basedOn w:val="Normal"/>
    <w:uiPriority w:val="34"/>
    <w:qFormat/>
    <w:rsid w:val="003454aa"/>
    <w:pPr>
      <w:spacing w:before="0" w:after="0"/>
      <w:ind w:start="720"/>
      <w:contextualSpacing/>
    </w:pPr>
    <w:rPr>
      <w:rFonts w:cs="Mangal"/>
      <w:szCs w:val="21"/>
    </w:rPr>
  </w:style>
  <w:style w:type="numbering" w:styleId="Style20"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CF6C4-B559-4052-9F2E-46F3F8AFB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TotalTime>
  <Application>LibreOffice/24.2.7.2$Linux_X86_64 LibreOffice_project/420$Build-2</Application>
  <AppVersion>15.0000</AppVersion>
  <Pages>2</Pages>
  <Words>422</Words>
  <Characters>2184</Characters>
  <CharactersWithSpaces>2435</CharactersWithSpaces>
  <Paragraphs>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2025-04-24T13:34:57Z</dcterms:created>
  <dc:creator/>
  <dc:description/>
  <dc:language>ru-RU</dc:language>
  <cp:lastModifiedBy/>
  <dcterms:modified xsi:type="dcterms:W3CDTF">2026-05-13T10:40:56Z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http://www.zotero.org/styles/human-reproduction</vt:lpwstr>
  </property>
  <property fmtid="{D5CDD505-2E9C-101B-9397-08002B2CF9AE}" pid="3" name="Mendeley Document_1">
    <vt:lpwstr>True</vt:lpwstr>
  </property>
  <property fmtid="{D5CDD505-2E9C-101B-9397-08002B2CF9AE}" pid="4" name="Mendeley Recent Style Id 0_1">
    <vt:lpwstr>http://www.zotero.org/styles/american-political-science-association</vt:lpwstr>
  </property>
  <property fmtid="{D5CDD505-2E9C-101B-9397-08002B2CF9AE}" pid="5" name="Mendeley Recent Style Id 1_1">
    <vt:lpwstr>http://www.zotero.org/styles/apa</vt:lpwstr>
  </property>
  <property fmtid="{D5CDD505-2E9C-101B-9397-08002B2CF9AE}" pid="6" name="Mendeley Recent Style Id 2_1">
    <vt:lpwstr>http://www.zotero.org/styles/american-sociological-association</vt:lpwstr>
  </property>
  <property fmtid="{D5CDD505-2E9C-101B-9397-08002B2CF9AE}" pid="7" name="Mendeley Recent Style Id 3_1">
    <vt:lpwstr>http://www.zotero.org/styles/chicago-author-date</vt:lpwstr>
  </property>
  <property fmtid="{D5CDD505-2E9C-101B-9397-08002B2CF9AE}" pid="8" name="Mendeley Recent Style Id 4_1">
    <vt:lpwstr>http://www.zotero.org/styles/harvard-cite-them-right</vt:lpwstr>
  </property>
  <property fmtid="{D5CDD505-2E9C-101B-9397-08002B2CF9AE}" pid="9" name="Mendeley Recent Style Id 5_1">
    <vt:lpwstr>http://www.zotero.org/styles/human-reproduction</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Political Science Association</vt:lpwstr>
  </property>
  <property fmtid="{D5CDD505-2E9C-101B-9397-08002B2CF9AE}" pid="15" name="Mendeley Recent Style Name 1_1">
    <vt:lpwstr>American Psychological Association 7th edition</vt:lpwstr>
  </property>
  <property fmtid="{D5CDD505-2E9C-101B-9397-08002B2CF9AE}" pid="16" name="Mendeley Recent Style Name 2_1">
    <vt:lpwstr>American Sociological Association 6th/7th edition</vt:lpwstr>
  </property>
  <property fmtid="{D5CDD505-2E9C-101B-9397-08002B2CF9AE}" pid="17" name="Mendeley Recent Style Name 3_1">
    <vt:lpwstr>Chicago Manual of Style 18th edition (author-date)</vt:lpwstr>
  </property>
  <property fmtid="{D5CDD505-2E9C-101B-9397-08002B2CF9AE}" pid="18" name="Mendeley Recent Style Name 4_1">
    <vt:lpwstr>Cite Them Right 12th edition - Harvard</vt:lpwstr>
  </property>
  <property fmtid="{D5CDD505-2E9C-101B-9397-08002B2CF9AE}" pid="19" name="Mendeley Recent Style Name 5_1">
    <vt:lpwstr>Human Reproduction</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9th edition (in-text citations)</vt:lpwstr>
  </property>
  <property fmtid="{D5CDD505-2E9C-101B-9397-08002B2CF9AE}" pid="23" name="Mendeley Recent Style Name 9_1">
    <vt:lpwstr>Nature</vt:lpwstr>
  </property>
  <property fmtid="{D5CDD505-2E9C-101B-9397-08002B2CF9AE}" pid="24" name="Mendeley Unique User Id_1">
    <vt:lpwstr>b2e90bad-f811-3001-a88d-daf05d4bbeb4</vt:lpwstr>
  </property>
</Properties>
</file>