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99.15492957746477" w:lineRule="auto"/>
        <w:jc w:val="center"/>
        <w:rPr>
          <w:b w:val="1"/>
          <w:color w:val="0000ff"/>
          <w:sz w:val="71"/>
          <w:szCs w:val="71"/>
        </w:rPr>
      </w:pPr>
      <w:bookmarkStart w:colFirst="0" w:colLast="0" w:name="_mimcfz7hz2qj" w:id="0"/>
      <w:bookmarkEnd w:id="0"/>
      <w:r w:rsidDel="00000000" w:rsidR="00000000" w:rsidRPr="00000000">
        <w:rPr>
          <w:b w:val="1"/>
          <w:color w:val="0000ff"/>
          <w:sz w:val="71"/>
          <w:szCs w:val="71"/>
          <w:rtl w:val="0"/>
        </w:rPr>
        <w:t xml:space="preserve">Анализ edtech-рынка за 2024 год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441487</wp:posOffset>
            </wp:positionH>
            <wp:positionV relativeFrom="paragraph">
              <wp:posOffset>200025</wp:posOffset>
            </wp:positionV>
            <wp:extent cx="4849684" cy="3077480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5295" l="0" r="41196" t="18319"/>
                    <a:stretch>
                      <a:fillRect/>
                    </a:stretch>
                  </pic:blipFill>
                  <pic:spPr>
                    <a:xfrm>
                      <a:off x="0" y="0"/>
                      <a:ext cx="4849684" cy="3077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99.15492957746477" w:lineRule="auto"/>
        <w:rPr>
          <w:b w:val="1"/>
          <w:color w:val="ffffff"/>
          <w:sz w:val="71"/>
          <w:szCs w:val="71"/>
        </w:rPr>
      </w:pPr>
      <w:bookmarkStart w:colFirst="0" w:colLast="0" w:name="_xmds7sr1r52e" w:id="1"/>
      <w:bookmarkEnd w:id="1"/>
      <w:r w:rsidDel="00000000" w:rsidR="00000000" w:rsidRPr="00000000">
        <w:rPr>
          <w:b w:val="1"/>
          <w:color w:val="ffffff"/>
          <w:sz w:val="71"/>
          <w:szCs w:val="71"/>
          <w:rtl w:val="0"/>
        </w:rPr>
        <w:t xml:space="preserve">ода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99.15492957746477" w:lineRule="auto"/>
        <w:rPr/>
      </w:pPr>
      <w:bookmarkStart w:colFirst="0" w:colLast="0" w:name="_vdzqndnoxe7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 Выполнил: Филатьев П.А.</w:t>
      </w:r>
    </w:p>
    <w:p w:rsidR="00000000" w:rsidDel="00000000" w:rsidP="00000000" w:rsidRDefault="00000000" w:rsidRPr="00000000" w14:paraId="00000027">
      <w:pPr>
        <w:pStyle w:val="Title"/>
        <w:rPr>
          <w:b w:val="1"/>
          <w:color w:val="0000ff"/>
          <w:sz w:val="6"/>
          <w:szCs w:val="6"/>
        </w:rPr>
      </w:pPr>
      <w:bookmarkStart w:colFirst="0" w:colLast="0" w:name="_g1j7obasv30x" w:id="3"/>
      <w:bookmarkEnd w:id="3"/>
      <w:r w:rsidDel="00000000" w:rsidR="00000000" w:rsidRPr="00000000">
        <w:rPr>
          <w:sz w:val="26"/>
          <w:szCs w:val="26"/>
          <w:rtl w:val="0"/>
        </w:rPr>
        <w:t xml:space="preserve">          </w:t>
      </w:r>
      <w:r w:rsidDel="00000000" w:rsidR="00000000" w:rsidRPr="00000000">
        <w:rPr>
          <w:b w:val="1"/>
          <w:color w:val="0000ff"/>
          <w:sz w:val="43"/>
          <w:szCs w:val="43"/>
          <w:rtl w:val="0"/>
        </w:rPr>
        <w:t xml:space="preserve">Анализ edtech-рынка за 2024 год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На основании обновленных данных агентства </w:t>
      </w:r>
      <w:r w:rsidDel="00000000" w:rsidR="00000000" w:rsidRPr="00000000">
        <w:rPr>
          <w:color w:val="212529"/>
          <w:sz w:val="28"/>
          <w:szCs w:val="28"/>
          <w:highlight w:val="white"/>
          <w:rtl w:val="0"/>
        </w:rPr>
        <w:t xml:space="preserve">Smart Ranking Общая динамика вернулась к показателям начала 2023 года и составила +22,5% (Y2Y). Лидером роста стала разработка образовательного ПО, прибавив больше 70%. Впервые за долгое время фактически сравнялась динамика двух основных сегментов — ДПО и детского образования.</w:t>
      </w:r>
    </w:p>
    <w:p w:rsidR="00000000" w:rsidDel="00000000" w:rsidP="00000000" w:rsidRDefault="00000000" w:rsidRPr="00000000" w14:paraId="00000029">
      <w:pPr>
        <w:spacing w:line="360" w:lineRule="auto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white"/>
          <w:rtl w:val="0"/>
        </w:rPr>
        <w:t xml:space="preserve">Суммарная выручка топ-100 крупнейших edtech-компаний России за I квартал 2024 года составила 33 млрд рублей, что на 22,5% выше, чем за аналогичный период 2023 года, и на 6,6% ниже, чем за IV квартал 2023 года (откат после обычно активного IV квартала является традиционным). Такая динамика оказалась близка к показателям I квартала 2023 года, когда рынок также показал замедление роста с 33 до 23% на фоне тревожного потребительского поведения.</w:t>
      </w:r>
    </w:p>
    <w:p w:rsidR="00000000" w:rsidDel="00000000" w:rsidP="00000000" w:rsidRDefault="00000000" w:rsidRPr="00000000" w14:paraId="0000002B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</w:rPr>
        <w:drawing>
          <wp:inline distB="114300" distT="114300" distL="114300" distR="114300">
            <wp:extent cx="5629275" cy="15827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3605" l="36244" r="8146" t="3837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582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40" w:line="360" w:lineRule="auto"/>
        <w:ind w:left="0" w:firstLine="0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white"/>
          <w:rtl w:val="0"/>
        </w:rPr>
        <w:t xml:space="preserve">Лидером рейтинга второй квартал подряд становится Skyeng, прежний лидер холдинг Skillbox расположился на втором месте. При этом, по оценке SmR, квартальное падение показали два крупных игрока — Skillbox и «Нетология». На рынок в последние годы все большее влияние оказывает сезонность: год назад Skyeng так же вырывался в лидеры во втором квартале, обогнав Skillbox, который стал лидером по итогам года, поскольку наиболее «хлебным» оказывается второе полугодие, и сегмент ДПО еще может отыграть свои позиции. Отдельные игроки продолжали рост и во втором квартале: так, холдинг Ultimate Education (купивший новую школу) вырос на 62% за год.</w:t>
      </w:r>
    </w:p>
    <w:p w:rsidR="00000000" w:rsidDel="00000000" w:rsidP="00000000" w:rsidRDefault="00000000" w:rsidRPr="00000000" w14:paraId="0000002D">
      <w:pPr>
        <w:shd w:fill="ffffff" w:val="clear"/>
        <w:spacing w:after="240" w:line="360" w:lineRule="auto"/>
        <w:ind w:left="0" w:firstLine="0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white"/>
          <w:rtl w:val="0"/>
        </w:rPr>
        <w:t xml:space="preserve">При этом высокие результаты показали компании, работающие в сегменте классического базового образования — ВО и СПО, который пока не выделен в отдельный сегмент. Так, выручка «Синергии» от этих двух направлений, работающих в формате онлайн, выросла на 48%, выручка колледжа IThub — на 36%.</w:t>
      </w:r>
    </w:p>
    <w:p w:rsidR="00000000" w:rsidDel="00000000" w:rsidP="00000000" w:rsidRDefault="00000000" w:rsidRPr="00000000" w14:paraId="0000002E">
      <w:pPr>
        <w:ind w:left="-425.19685039370086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</w:rPr>
        <w:drawing>
          <wp:inline distB="114300" distT="114300" distL="114300" distR="114300">
            <wp:extent cx="6615113" cy="4091193"/>
            <wp:effectExtent b="0" l="0" r="0" t="0"/>
            <wp:docPr descr="Диаграмма" id="1" name="image3.png"/>
            <a:graphic>
              <a:graphicData uri="http://schemas.openxmlformats.org/drawingml/2006/picture">
                <pic:pic>
                  <pic:nvPicPr>
                    <pic:cNvPr descr="Диаграмма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5113" cy="4091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