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СВЕРКИ ВЗАИМНЫХ РАСЧЁТОВ</w:t>
      </w:r>
    </w:p>
    <w:p>
      <w:pPr>
        <w:spacing w:after="260" w:before="0" w:line="280"/>
        <w:jc w:val="center"/>
      </w:pPr>
      <w:r>
        <w:rPr>
          <w:b w:val="false"/>
          <w:bCs w:val="false"/>
        </w:rPr>
        <w:t xml:space="preserve">к расчётам по корпоративному питанию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Период сверки: 23.10.2025 – 08.05.2026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18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Сальдо на начало периода: 0,00 руб.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Начислено, руб.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Оплачено, руб.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23.10.2025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Оплата (аванс №2)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15 000,00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17.11.2025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2 за октябрь 2025 г.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6 700,00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06.03.2026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3 за период с 01.11.2025 по 28.02.2026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6 100,00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17.04.2026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4 за период с 01.03.2026 по 31.03.2026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21.04.2026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Оплата (аванс №3)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25 000,00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08.05.2026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5 за период с 01.04.2026 по 30.04.2026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4 500,00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 начислено: 22 115,00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Итого оплачено: 40 000,00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Сальдо на конец периода: 17 885,00 руб. в пользу Заказчика.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сверки составлен в двух экземплярах, имеющих равную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2026-05-08T13:59:59.737Z</dcterms:created>
  <dcterms:modified xsi:type="dcterms:W3CDTF">2026-05-08T13:59:59.738Z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