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СВЕРКИ ВЗАИМНЫХ РАСЧЁТОВ</w:t>
      </w:r>
    </w:p>
    <w:p>
      <w:pPr>
        <w:spacing w:after="260" w:before="0" w:line="280"/>
        <w:jc w:val="center"/>
      </w:pPr>
      <w:r>
        <w:rPr>
          <w:b w:val="false"/>
          <w:bCs w:val="false"/>
        </w:rPr>
        <w:t xml:space="preserve">к расчётам по корпоративному питанию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Период сверки: 23.10.2025 – 13.04.2026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18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Сальдо на начало периода: 0,00 руб.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Документ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Начислено, руб.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Оплачено, руб.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23.10.2025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Оплата (аванс) - Аванс от Railship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15 000,00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17.11.2025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2 за октябрь 2025 г.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5 500,00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06.03.2026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3 за период с 01.11.2025 по 28.02.2026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7 300,00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11.04.2026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4 за период с 01.03.2026 по 31.03.2026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4 815,00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 начислено: 17 615,00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Итого оплачено: 15 000,00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Сальдо на конец периода: 2 615,00 руб. задолженность Заказчика перед Исполнителем.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сверки составлен в двух экземплярах, имеющих равную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2026-04-12T23:37:43.721Z</dcterms:created>
  <dcterms:modified xsi:type="dcterms:W3CDTF">2026-04-12T23:37:43.721Z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