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p/>
    <w:p>
      <w:r>
        <w:rPr>
          <w:u w:val="single"/>
          <w:sz w:val="22"/>
          <w:szCs w:val="22"/>
        </w:rPr>
        <w:t xml:space="preserve">АО "Тинькофф Банк", АО «Альфа-Банк», ПАО "Совкомбанк", АО «ОТП Банк», ООО «ХКФ Банк», МКК "КУПИ НЕ КОПИ"  (ООО) , ПАО "Сбербанк", ПАО "МТС-Банк", АО "Райффайзенбанк", Банк ВТБ (ПАО), ПАО КБ "Восточный", АО "Банк Русский  Стандарт" , АО «Кредит Европа  Банк (Россия)», КБ "Ренессанс Кредит" (ООО), Банк ГПБ (АО), ПАО БАНК СИНАРА, ООО МФК "Мани Мен", ООО МКК  "ДЗП-Центр" , ПАО Банк "ФК  Открытие" , АО "Почта Банк", ООО «Финансовый  клуб» , ООО МКК  "Академическая" , АО КБ "Ситибанк", ООО МФК  "Экофинанс" , ООО МФК «Веритас», ООО МФК "Займер", ПАО КБ "УБРиР", ПАО РОСБАНК, КИВИ Банк (АО), "Сетелем Банк" ООО, ООО "МКК "Кредит  Лайн" .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2022-11-17T11:20:40.347Z</dcterms:created>
  <dcterms:modified xsi:type="dcterms:W3CDTF">2022-11-17T11:20:40.347Z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