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A0B" w:rsidRPr="000F0077" w:rsidRDefault="000F0077" w:rsidP="00596A0B">
      <w:pPr>
        <w:pStyle w:val="0"/>
        <w:spacing w:line="276" w:lineRule="auto"/>
        <w:jc w:val="center"/>
        <w:rPr>
          <w:b/>
        </w:rPr>
      </w:pPr>
      <w:r w:rsidRPr="000F0077">
        <w:rPr>
          <w:b/>
        </w:rPr>
        <w:t>Анализ влияния дифференциальной характеристики на показатели токсичности дизеля.</w:t>
      </w:r>
    </w:p>
    <w:p w:rsidR="00596A0B" w:rsidRDefault="00596A0B" w:rsidP="00596A0B">
      <w:pPr>
        <w:pStyle w:val="0"/>
        <w:spacing w:line="276" w:lineRule="auto"/>
        <w:jc w:val="center"/>
      </w:pPr>
    </w:p>
    <w:p w:rsidR="00596A0B" w:rsidRPr="008D266B" w:rsidRDefault="00596A0B" w:rsidP="00596A0B">
      <w:pPr>
        <w:pStyle w:val="0"/>
        <w:spacing w:line="276" w:lineRule="auto"/>
        <w:rPr>
          <w:rFonts w:eastAsiaTheme="minorEastAsia"/>
        </w:rPr>
      </w:pPr>
      <w:r w:rsidRPr="008D266B">
        <w:t>Атмосферный воздух представляет собой важнейшую жизнеобеспечивающую среду для человека. Загрязнение атмосферы является самым мощным и постоянно действующим фактором воздействия на человека и окружающую среду. Особенно актуальна эта проблема для крупных городов, в которых сосредоточена большая часть населения.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>В больших городах к числу основных источников загрязнения атмосферного воздуха относится автотранспорт.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t>В процессе сгорания топлива в цилиндре двигателя образуются новые вещества, которые вместе с несгоревшими углеводородами в процессе выпуска поступают в выпускную систему, а затем в окружающую среду.</w:t>
      </w:r>
    </w:p>
    <w:p w:rsidR="00596A0B" w:rsidRP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 xml:space="preserve"> </w:t>
      </w:r>
      <w:r w:rsidRPr="00596A0B">
        <w:rPr>
          <w:rFonts w:ascii="Times New Roman" w:hAnsi="Times New Roman" w:cs="Times New Roman"/>
          <w:b/>
          <w:sz w:val="28"/>
          <w:szCs w:val="28"/>
        </w:rPr>
        <w:t>Вещества, выбрасываемые с отработавшими газами дизел</w:t>
      </w:r>
      <w:r>
        <w:rPr>
          <w:rFonts w:ascii="Times New Roman" w:hAnsi="Times New Roman" w:cs="Times New Roman"/>
          <w:b/>
          <w:sz w:val="28"/>
          <w:szCs w:val="28"/>
        </w:rPr>
        <w:t>ей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>Вещества, оказывающие отравляющее воздействие на человека и окружающую среду, называют токсичными. В отработавших газах (ОГ) двигателя более 300 различных токсичных веществ.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>Токсичные вещества подразделяют на нормируемые и ненормируемые. Содержание нормируемых веществ в ОГ законодательно ограничивается экологическими стандартами применительно к транспортным средствам, на которые установлены соответствующие двигатели. К нормируемым веществам относят: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оксид углерода (CO);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66B"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углеводороды (</w:t>
      </w:r>
      <w:proofErr w:type="spellStart"/>
      <w:r w:rsidRPr="008D266B">
        <w:rPr>
          <w:rFonts w:ascii="Times New Roman" w:hAnsi="Times New Roman" w:cs="Times New Roman"/>
          <w:sz w:val="28"/>
          <w:szCs w:val="28"/>
        </w:rPr>
        <w:t>CxHy</w:t>
      </w:r>
      <w:proofErr w:type="spellEnd"/>
      <w:r w:rsidRPr="008D266B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оксиды азота (</w:t>
      </w:r>
      <w:proofErr w:type="spellStart"/>
      <w:r w:rsidRPr="008D266B">
        <w:rPr>
          <w:rFonts w:ascii="Times New Roman" w:hAnsi="Times New Roman" w:cs="Times New Roman"/>
          <w:sz w:val="28"/>
          <w:szCs w:val="28"/>
        </w:rPr>
        <w:t>NOx</w:t>
      </w:r>
      <w:proofErr w:type="spellEnd"/>
      <w:r w:rsidRPr="008D266B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596A0B" w:rsidRDefault="00596A0B" w:rsidP="00596A0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66B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66B">
        <w:rPr>
          <w:rFonts w:ascii="Times New Roman" w:hAnsi="Times New Roman" w:cs="Times New Roman"/>
          <w:sz w:val="28"/>
          <w:szCs w:val="28"/>
        </w:rPr>
        <w:t xml:space="preserve"> сажу и частицы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96A0B" w:rsidRPr="00752EC2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Оксид углерода</w:t>
      </w:r>
      <w:r w:rsidRPr="00752EC2">
        <w:rPr>
          <w:rFonts w:ascii="Times New Roman" w:hAnsi="Times New Roman" w:cs="Times New Roman"/>
          <w:sz w:val="28"/>
          <w:szCs w:val="28"/>
        </w:rPr>
        <w:t xml:space="preserve"> – бесцветный газ, не обладающий запахом, снижающий уровень гемоглобина в крови, следствием чего является появление головной боли, повышенное сердцебиение (сердце стремится восполнить недостаток кислорода), затруднение дыхания и тошнота. СО опасен для водителей ослаблением внимания, ухудшением реакции человека и опасностью потери сознания.</w:t>
      </w:r>
    </w:p>
    <w:p w:rsidR="00596A0B" w:rsidRPr="00752EC2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lastRenderedPageBreak/>
        <w:t>Углеводороды</w:t>
      </w:r>
      <w:r w:rsidRPr="00752EC2">
        <w:rPr>
          <w:rFonts w:ascii="Times New Roman" w:hAnsi="Times New Roman" w:cs="Times New Roman"/>
          <w:sz w:val="28"/>
          <w:szCs w:val="28"/>
        </w:rPr>
        <w:t>. В ОГ двигателя содержится до 200 различных углеводородов, относящихся к токсичным веществам. В зависимости от строения молекул углеводородов их свойства и воздействие на человека несколько отличаются друг от друга. Легкие углеводороды (малое содержанием углерода в молекуле) почти не имеют запаха и оказывают наркотическое воздействие на человека, вызывая состояние эйфории. Длительное воздействие легких углеводородов приводит к раковым заболеваниям. Циклические углеводороды не выводятся из организма и накапливаются в нем.</w:t>
      </w:r>
    </w:p>
    <w:p w:rsidR="00596A0B" w:rsidRPr="00752EC2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Оксидами азота</w:t>
      </w:r>
      <w:r w:rsidRPr="00752EC2">
        <w:rPr>
          <w:rFonts w:ascii="Times New Roman" w:hAnsi="Times New Roman" w:cs="Times New Roman"/>
          <w:sz w:val="28"/>
          <w:szCs w:val="28"/>
        </w:rPr>
        <w:t xml:space="preserve"> принято называть группу азотосодержащих газов, присутствующих в ОГ двигателя и состоящую из: оксида азота (NO) и диоксида азота (NO2). NO – бесцветный газ, не имеющий запаха. Образовавшийся в цилиндре NO в воздухе окисляется до NO2, токсичность которого выше, чем NO. Поэтому результаты измерения концентрации оксидов азота часто приводят к содержанию NO2. NO2 – газ красно-коричневого цвета с резким запахом. Диоксид азота ядовит – вызывает раздражение слизистой оболочки глаз и носа, оказывает отрицательное воздействие на нервную и сердечно-сосудистую системы человека.</w:t>
      </w:r>
    </w:p>
    <w:p w:rsidR="00596A0B" w:rsidRPr="00752EC2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Сажа и дисперсные частицы</w:t>
      </w:r>
      <w:r w:rsidRPr="00752EC2">
        <w:rPr>
          <w:rFonts w:ascii="Times New Roman" w:hAnsi="Times New Roman" w:cs="Times New Roman"/>
          <w:sz w:val="28"/>
          <w:szCs w:val="28"/>
        </w:rPr>
        <w:t>. Сажа представляет собой частицы с пористой структурой, состоящие из углерода и 1…3 % водорода. Видимое проявление содержания высокого сажи в ОГ дизелей – черный дым, ухудшающий видимость.</w:t>
      </w:r>
    </w:p>
    <w:p w:rsidR="00596A0B" w:rsidRPr="00752EC2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>Сажа и дисперсные частицы. Сажа представляет собой частицы с пористой структурой, состоящие из углерода и 1…3 % водорода. Видимое проявление содержания высокого сажи в ОГ дизелей – черный дым, ухудшающий видимость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b/>
          <w:sz w:val="28"/>
          <w:szCs w:val="28"/>
        </w:rPr>
        <w:t>К ненормируемым веществам, оказывающим наиболее существенное влияние на человека и окружающую среду, относят углекислый газ (CO2) и серу (S)</w:t>
      </w:r>
      <w:r w:rsidRPr="00752EC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CO2 – газ без цвета и запаха, являющийся продуктом полного сгорания углерода в цилиндре двигателя. 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Углекислый газ оказывает на человека удушающее воздействие, вызывая отдышку, судороги и потерю сознания. 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CO2 входит в группу газов, наряду с метаном CH4 и N2O, поглощающих инфракрасное излучение, отраженное от поверхности Земли, и вызывающих парниковый эффект. Поэтому в развитых странах Мира обсуждается вопрос </w:t>
      </w:r>
      <w:r w:rsidRPr="00752EC2">
        <w:rPr>
          <w:rFonts w:ascii="Times New Roman" w:hAnsi="Times New Roman" w:cs="Times New Roman"/>
          <w:sz w:val="28"/>
          <w:szCs w:val="28"/>
        </w:rPr>
        <w:lastRenderedPageBreak/>
        <w:t xml:space="preserve">об ограничении выбросов CO2. Определяющим здесь являются снижение расхода топлива и использование топлив с низким содержанием углерода. 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Присутствие в дизельном топливе </w:t>
      </w:r>
      <w:r w:rsidRPr="00FC40D3">
        <w:rPr>
          <w:rFonts w:ascii="Times New Roman" w:hAnsi="Times New Roman" w:cs="Times New Roman"/>
          <w:sz w:val="28"/>
          <w:szCs w:val="28"/>
        </w:rPr>
        <w:t>серы</w:t>
      </w:r>
      <w:r w:rsidRPr="00752EC2">
        <w:rPr>
          <w:rFonts w:ascii="Times New Roman" w:hAnsi="Times New Roman" w:cs="Times New Roman"/>
          <w:sz w:val="28"/>
          <w:szCs w:val="28"/>
        </w:rPr>
        <w:t xml:space="preserve"> способствует образованию диоксида SO2 и </w:t>
      </w:r>
      <w:proofErr w:type="spellStart"/>
      <w:r w:rsidRPr="00752EC2">
        <w:rPr>
          <w:rFonts w:ascii="Times New Roman" w:hAnsi="Times New Roman" w:cs="Times New Roman"/>
          <w:sz w:val="28"/>
          <w:szCs w:val="28"/>
        </w:rPr>
        <w:t>триоксида</w:t>
      </w:r>
      <w:proofErr w:type="spellEnd"/>
      <w:r w:rsidRPr="00752EC2">
        <w:rPr>
          <w:rFonts w:ascii="Times New Roman" w:hAnsi="Times New Roman" w:cs="Times New Roman"/>
          <w:sz w:val="28"/>
          <w:szCs w:val="28"/>
        </w:rPr>
        <w:t xml:space="preserve"> SO3 серы. 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SO2 – газ с резким запахом, раздражающий слизистые оболочки, костный мозг и селезенку, вызывающий головные боли, бессонницу. 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>SO3 – бесцветный газ. При реакции с парами воды SO3 образует кислоты (сернистую Н2SO3 и серную Н2SO4).</w:t>
      </w:r>
    </w:p>
    <w:p w:rsidR="00596A0B" w:rsidRDefault="00596A0B" w:rsidP="00596A0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EC2">
        <w:rPr>
          <w:rFonts w:ascii="Times New Roman" w:hAnsi="Times New Roman" w:cs="Times New Roman"/>
          <w:sz w:val="28"/>
          <w:szCs w:val="28"/>
        </w:rPr>
        <w:t xml:space="preserve">Свинец, использовавшийся ранее для повышения детонационной стойкости бензинов, запрещен для использования в РФ. </w:t>
      </w:r>
      <w:proofErr w:type="spellStart"/>
      <w:r w:rsidRPr="00752EC2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752EC2">
        <w:rPr>
          <w:rFonts w:ascii="Times New Roman" w:hAnsi="Times New Roman" w:cs="Times New Roman"/>
          <w:sz w:val="28"/>
          <w:szCs w:val="28"/>
        </w:rPr>
        <w:t xml:space="preserve"> является сильнодействующим ядом, который накапливается в организме и не выводится. Он воздействует на центральную нервную систему и вызывает психические и нервные расстройства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6A0B" w:rsidRDefault="00596A0B" w:rsidP="004B3F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3F1E" w:rsidRPr="004B3F1E" w:rsidRDefault="004B3F1E" w:rsidP="004B3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F1E">
        <w:rPr>
          <w:rFonts w:ascii="Times New Roman" w:hAnsi="Times New Roman" w:cs="Times New Roman"/>
          <w:b/>
          <w:sz w:val="28"/>
          <w:szCs w:val="28"/>
        </w:rPr>
        <w:t>Характеристик</w:t>
      </w:r>
      <w:r w:rsidR="000F0077">
        <w:rPr>
          <w:rFonts w:ascii="Times New Roman" w:hAnsi="Times New Roman" w:cs="Times New Roman"/>
          <w:b/>
          <w:sz w:val="28"/>
          <w:szCs w:val="28"/>
        </w:rPr>
        <w:t>а</w:t>
      </w:r>
      <w:r w:rsidRPr="004B3F1E">
        <w:rPr>
          <w:rFonts w:ascii="Times New Roman" w:hAnsi="Times New Roman" w:cs="Times New Roman"/>
          <w:b/>
          <w:sz w:val="28"/>
          <w:szCs w:val="28"/>
        </w:rPr>
        <w:t xml:space="preserve"> впрыска</w:t>
      </w:r>
    </w:p>
    <w:p w:rsidR="004B3F1E" w:rsidRDefault="004B3F1E">
      <w:pPr>
        <w:rPr>
          <w:rFonts w:ascii="Times New Roman" w:hAnsi="Times New Roman" w:cs="Times New Roman"/>
          <w:sz w:val="28"/>
          <w:szCs w:val="28"/>
        </w:rPr>
      </w:pPr>
      <w:r w:rsidRPr="004B3F1E">
        <w:rPr>
          <w:rFonts w:ascii="Times New Roman" w:hAnsi="Times New Roman" w:cs="Times New Roman"/>
          <w:sz w:val="28"/>
          <w:szCs w:val="28"/>
        </w:rPr>
        <w:tab/>
        <w:t xml:space="preserve"> Характеристикой впрыска топлива называется зависимость объемной или массовой подачи топлива из распылителя форсунки от угла поворота кулачкового вала насоса или времени. </w:t>
      </w:r>
      <w:r w:rsidRPr="004B3F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4B3F1E" w:rsidRPr="004B3F1E" w:rsidRDefault="004B3F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B3F1E">
        <w:rPr>
          <w:rFonts w:ascii="Times New Roman" w:hAnsi="Times New Roman" w:cs="Times New Roman"/>
          <w:sz w:val="28"/>
          <w:szCs w:val="28"/>
        </w:rPr>
        <w:t>Дифференциальная характеристика впрыска – зависимость мгновенного объемного или массового расхода топлива от угла повор</w:t>
      </w:r>
      <w:r w:rsidR="00596A0B">
        <w:rPr>
          <w:rFonts w:ascii="Times New Roman" w:hAnsi="Times New Roman" w:cs="Times New Roman"/>
          <w:sz w:val="28"/>
          <w:szCs w:val="28"/>
        </w:rPr>
        <w:t>ота кулачкового вала или времени (</w:t>
      </w:r>
      <w:r w:rsidR="00596A0B" w:rsidRPr="000F0077">
        <w:rPr>
          <w:rFonts w:ascii="Times New Roman" w:hAnsi="Times New Roman" w:cs="Times New Roman"/>
          <w:sz w:val="28"/>
          <w:szCs w:val="28"/>
        </w:rPr>
        <w:t>рис</w:t>
      </w:r>
      <w:r w:rsidR="000F0077" w:rsidRPr="000F0077">
        <w:rPr>
          <w:rFonts w:ascii="Times New Roman" w:hAnsi="Times New Roman" w:cs="Times New Roman"/>
          <w:sz w:val="28"/>
          <w:szCs w:val="28"/>
        </w:rPr>
        <w:t>.1.</w:t>
      </w:r>
      <w:r w:rsidR="00596A0B" w:rsidRPr="000F0077">
        <w:rPr>
          <w:rFonts w:ascii="Times New Roman" w:hAnsi="Times New Roman" w:cs="Times New Roman"/>
          <w:sz w:val="28"/>
          <w:szCs w:val="28"/>
        </w:rPr>
        <w:t>)</w:t>
      </w:r>
    </w:p>
    <w:p w:rsidR="001B1102" w:rsidRPr="004B3F1E" w:rsidRDefault="00957FB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=f(φ)</m:t>
          </m:r>
        </m:oMath>
      </m:oMathPara>
    </w:p>
    <w:p w:rsidR="004B3F1E" w:rsidRPr="004B3F1E" w:rsidRDefault="004B3F1E" w:rsidP="004B3F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F1E">
        <w:rPr>
          <w:rFonts w:ascii="Times New Roman" w:hAnsi="Times New Roman" w:cs="Times New Roman"/>
          <w:b/>
          <w:sz w:val="28"/>
          <w:szCs w:val="28"/>
        </w:rPr>
        <w:t>Требования, предъявляемые к характеристике впрыска</w:t>
      </w:r>
    </w:p>
    <w:p w:rsidR="004B3F1E" w:rsidRPr="004B3F1E" w:rsidRDefault="004B3F1E" w:rsidP="004B3F1E">
      <w:pPr>
        <w:rPr>
          <w:rFonts w:ascii="Times New Roman" w:hAnsi="Times New Roman" w:cs="Times New Roman"/>
          <w:sz w:val="28"/>
          <w:szCs w:val="28"/>
        </w:rPr>
      </w:pPr>
      <w:r w:rsidRPr="004B3F1E">
        <w:rPr>
          <w:rFonts w:ascii="Times New Roman" w:hAnsi="Times New Roman" w:cs="Times New Roman"/>
          <w:sz w:val="28"/>
          <w:szCs w:val="28"/>
        </w:rPr>
        <w:t>Характеристика впрыска должна отвечать следующим требованиям:</w:t>
      </w:r>
    </w:p>
    <w:p w:rsidR="004B3F1E" w:rsidRPr="004B3F1E" w:rsidRDefault="004B3F1E" w:rsidP="004B3F1E">
      <w:pPr>
        <w:rPr>
          <w:rFonts w:ascii="Times New Roman" w:hAnsi="Times New Roman" w:cs="Times New Roman"/>
          <w:sz w:val="28"/>
          <w:szCs w:val="28"/>
        </w:rPr>
      </w:pPr>
      <w:r w:rsidRPr="004B3F1E">
        <w:rPr>
          <w:rFonts w:ascii="Times New Roman" w:hAnsi="Times New Roman" w:cs="Times New Roman"/>
          <w:sz w:val="28"/>
          <w:szCs w:val="28"/>
        </w:rPr>
        <w:tab/>
        <w:t xml:space="preserve"> 1. Доля топлива, подаваемого в цилиндр дизеля за период задержки воспламенения, не должна быть чрезмерно большой с тем, чтобы обеспечить достаточно плавное нарастание давления в процессе сгорания.</w:t>
      </w:r>
    </w:p>
    <w:p w:rsidR="004B3F1E" w:rsidRPr="004B3F1E" w:rsidRDefault="004B3F1E" w:rsidP="004B3F1E">
      <w:pPr>
        <w:rPr>
          <w:rFonts w:ascii="Times New Roman" w:hAnsi="Times New Roman" w:cs="Times New Roman"/>
          <w:sz w:val="28"/>
          <w:szCs w:val="28"/>
        </w:rPr>
      </w:pPr>
      <w:r w:rsidRPr="004B3F1E">
        <w:rPr>
          <w:rFonts w:ascii="Times New Roman" w:hAnsi="Times New Roman" w:cs="Times New Roman"/>
          <w:sz w:val="28"/>
          <w:szCs w:val="28"/>
        </w:rPr>
        <w:tab/>
        <w:t xml:space="preserve">2. Основная масса топлива должна подаваться с нарастающими скоростями. Это позволяет обеспечить достижение каплями топлива наиболее удаленных участков камеры сгорания и улучшить использование воздуха в дизеле. </w:t>
      </w:r>
    </w:p>
    <w:p w:rsidR="004B3F1E" w:rsidRPr="004B3F1E" w:rsidRDefault="004B3F1E" w:rsidP="004B3F1E">
      <w:pPr>
        <w:rPr>
          <w:rFonts w:ascii="Times New Roman" w:hAnsi="Times New Roman" w:cs="Times New Roman"/>
          <w:sz w:val="28"/>
          <w:szCs w:val="28"/>
        </w:rPr>
      </w:pPr>
      <w:r w:rsidRPr="004B3F1E">
        <w:rPr>
          <w:rFonts w:ascii="Times New Roman" w:hAnsi="Times New Roman" w:cs="Times New Roman"/>
          <w:sz w:val="28"/>
          <w:szCs w:val="28"/>
        </w:rPr>
        <w:lastRenderedPageBreak/>
        <w:tab/>
        <w:t xml:space="preserve">3. Продолжительность подачи топлива должна быть оптимальной для данного дизеля с тем, чтобы сгорание основной доли топлива происходило вблизи ВМТ. </w:t>
      </w:r>
    </w:p>
    <w:p w:rsidR="004B3F1E" w:rsidRDefault="004B3F1E" w:rsidP="004B3F1E">
      <w:pPr>
        <w:rPr>
          <w:rFonts w:ascii="Times New Roman" w:hAnsi="Times New Roman" w:cs="Times New Roman"/>
          <w:sz w:val="28"/>
          <w:szCs w:val="28"/>
        </w:rPr>
      </w:pPr>
      <w:r w:rsidRPr="004B3F1E">
        <w:rPr>
          <w:rFonts w:ascii="Times New Roman" w:hAnsi="Times New Roman" w:cs="Times New Roman"/>
          <w:sz w:val="28"/>
          <w:szCs w:val="28"/>
        </w:rPr>
        <w:tab/>
        <w:t>4. Дополнительный впрыск топлива после окончания основной подачи должен отсутствовать, чтобы не вызывать перегрева и закоксовывания распылителя.</w:t>
      </w:r>
    </w:p>
    <w:p w:rsidR="00596A0B" w:rsidRDefault="00596A0B" w:rsidP="004B3F1E">
      <w:pPr>
        <w:rPr>
          <w:rFonts w:ascii="Times New Roman" w:hAnsi="Times New Roman" w:cs="Times New Roman"/>
          <w:sz w:val="28"/>
          <w:szCs w:val="28"/>
        </w:rPr>
      </w:pPr>
    </w:p>
    <w:p w:rsidR="00596A0B" w:rsidRDefault="00596A0B" w:rsidP="004B3F1E">
      <w:pPr>
        <w:rPr>
          <w:rFonts w:ascii="Times New Roman" w:hAnsi="Times New Roman" w:cs="Times New Roman"/>
          <w:sz w:val="28"/>
          <w:szCs w:val="28"/>
        </w:rPr>
      </w:pPr>
    </w:p>
    <w:p w:rsidR="00596A0B" w:rsidRDefault="00596A0B" w:rsidP="004B3F1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404516"/>
            <wp:effectExtent l="0" t="0" r="3175" b="0"/>
            <wp:docPr id="1" name="Рисунок 1" descr="https://studfile.net/html/2706/418/html__opEl9gYNh.lk01/htmlconvd-lkK0mc_html_437c295266889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418/html__opEl9gYNh.lk01/htmlconvd-lkK0mc_html_437c29526688936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A0B" w:rsidRDefault="00596A0B" w:rsidP="00596A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0F0077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077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ифференциальная характеристика впрыска</w:t>
      </w:r>
    </w:p>
    <w:p w:rsidR="000F0077" w:rsidRPr="000F0077" w:rsidRDefault="000F0077" w:rsidP="000F0077">
      <w:pPr>
        <w:pStyle w:val="0"/>
        <w:spacing w:line="276" w:lineRule="auto"/>
        <w:jc w:val="center"/>
        <w:rPr>
          <w:b/>
        </w:rPr>
      </w:pPr>
      <w:r w:rsidRPr="000F0077">
        <w:rPr>
          <w:b/>
        </w:rPr>
        <w:t>Анализ влияния дифференциальной характеристики на показатели токсичности дизеля.</w:t>
      </w:r>
    </w:p>
    <w:p w:rsidR="00596A0B" w:rsidRDefault="000F0077" w:rsidP="000F00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0F0077">
        <w:rPr>
          <w:sz w:val="28"/>
          <w:szCs w:val="28"/>
          <w:highlight w:val="yellow"/>
        </w:rPr>
        <w:t xml:space="preserve">Задача данного исследования – проанализировать возможность улучшения показателей токсичности дизеля </w:t>
      </w:r>
      <w:r w:rsidRPr="000F0077">
        <w:rPr>
          <w:sz w:val="28"/>
          <w:szCs w:val="28"/>
          <w:highlight w:val="yellow"/>
        </w:rPr>
        <w:t xml:space="preserve">улучшением качеством управления давления в ТС типа </w:t>
      </w:r>
      <w:r w:rsidRPr="000F0077">
        <w:rPr>
          <w:sz w:val="28"/>
          <w:szCs w:val="28"/>
          <w:highlight w:val="yellow"/>
          <w:lang w:val="en-US"/>
        </w:rPr>
        <w:t>Common</w:t>
      </w:r>
      <w:r w:rsidRPr="000F0077">
        <w:rPr>
          <w:sz w:val="28"/>
          <w:szCs w:val="28"/>
          <w:highlight w:val="yellow"/>
        </w:rPr>
        <w:t xml:space="preserve"> </w:t>
      </w:r>
      <w:r w:rsidRPr="000F0077">
        <w:rPr>
          <w:sz w:val="28"/>
          <w:szCs w:val="28"/>
          <w:highlight w:val="yellow"/>
          <w:lang w:val="en-US"/>
        </w:rPr>
        <w:t>Rail</w:t>
      </w:r>
      <w:r w:rsidRPr="000F0077">
        <w:rPr>
          <w:sz w:val="28"/>
          <w:szCs w:val="28"/>
          <w:highlight w:val="yellow"/>
        </w:rPr>
        <w:t>.</w:t>
      </w:r>
      <w:r w:rsidRPr="007D7D8F">
        <w:rPr>
          <w:sz w:val="28"/>
          <w:szCs w:val="28"/>
        </w:rPr>
        <w:t xml:space="preserve"> При этом не предполагается проведение многопараметровых исследований работы дизеля на различных скоростных и нагрузочных режимах. Определение механических потерь и индикаторных показателей работы дизеля также не проводилось.</w:t>
      </w:r>
    </w:p>
    <w:p w:rsidR="00596A0B" w:rsidRPr="007D7D8F" w:rsidRDefault="00596A0B" w:rsidP="00596A0B">
      <w:pPr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lastRenderedPageBreak/>
        <w:t>Особенность методики – расчет был произведен при помощи вычислительного комплекса «</w:t>
      </w:r>
      <w:r w:rsidRPr="007D7D8F">
        <w:rPr>
          <w:sz w:val="28"/>
          <w:szCs w:val="28"/>
          <w:lang w:val="en-US"/>
        </w:rPr>
        <w:t>Diesel</w:t>
      </w:r>
      <w:r w:rsidRPr="007D7D8F">
        <w:rPr>
          <w:sz w:val="28"/>
          <w:szCs w:val="28"/>
        </w:rPr>
        <w:t>-</w:t>
      </w:r>
      <w:r w:rsidRPr="007D7D8F">
        <w:rPr>
          <w:sz w:val="28"/>
          <w:szCs w:val="28"/>
          <w:lang w:val="en-US"/>
        </w:rPr>
        <w:t>RK</w:t>
      </w:r>
      <w:r w:rsidRPr="007D7D8F">
        <w:rPr>
          <w:sz w:val="28"/>
          <w:szCs w:val="28"/>
        </w:rPr>
        <w:t xml:space="preserve">». При расчете был использован прототип реального двигателя, установленного в ПЛТД МАДИ.  При разных значениях давления в аккумуляторе </w:t>
      </w:r>
      <w:proofErr w:type="spellStart"/>
      <w:r w:rsidRPr="007D7D8F">
        <w:rPr>
          <w:i/>
          <w:sz w:val="28"/>
          <w:szCs w:val="28"/>
        </w:rPr>
        <w:t>p</w:t>
      </w:r>
      <w:r w:rsidRPr="007D7D8F">
        <w:rPr>
          <w:sz w:val="28"/>
          <w:szCs w:val="28"/>
          <w:vertAlign w:val="subscript"/>
        </w:rPr>
        <w:t>ак</w:t>
      </w:r>
      <w:proofErr w:type="spellEnd"/>
      <w:r w:rsidRPr="007D7D8F">
        <w:rPr>
          <w:sz w:val="28"/>
          <w:szCs w:val="28"/>
        </w:rPr>
        <w:t xml:space="preserve"> и </w:t>
      </w:r>
      <w:r w:rsidRPr="00596A0B">
        <w:rPr>
          <w:sz w:val="28"/>
          <w:szCs w:val="28"/>
          <w:highlight w:val="yellow"/>
        </w:rPr>
        <w:t>различных вариантах дифференциальной характеристики впрыска (табл.1)</w:t>
      </w:r>
      <w:r w:rsidRPr="00596A0B">
        <w:rPr>
          <w:sz w:val="28"/>
          <w:szCs w:val="28"/>
          <w:highlight w:val="yellow"/>
          <w:vertAlign w:val="subscript"/>
        </w:rPr>
        <w:t>,</w:t>
      </w:r>
      <w:r w:rsidRPr="00596A0B">
        <w:rPr>
          <w:sz w:val="28"/>
          <w:szCs w:val="28"/>
          <w:vertAlign w:val="subscript"/>
        </w:rPr>
        <w:t xml:space="preserve"> </w:t>
      </w:r>
      <w:r w:rsidRPr="007D7D8F">
        <w:rPr>
          <w:sz w:val="28"/>
          <w:szCs w:val="28"/>
        </w:rPr>
        <w:t xml:space="preserve">задавалась постоянная величина крутящего момента </w:t>
      </w:r>
      <w:proofErr w:type="spellStart"/>
      <w:r w:rsidRPr="007D7D8F">
        <w:rPr>
          <w:sz w:val="28"/>
          <w:szCs w:val="28"/>
        </w:rPr>
        <w:t>М</w:t>
      </w:r>
      <w:r w:rsidRPr="007D7D8F">
        <w:rPr>
          <w:sz w:val="28"/>
          <w:szCs w:val="28"/>
          <w:vertAlign w:val="subscript"/>
        </w:rPr>
        <w:t>к</w:t>
      </w:r>
      <w:proofErr w:type="spellEnd"/>
      <w:r w:rsidRPr="007D7D8F">
        <w:rPr>
          <w:sz w:val="28"/>
          <w:szCs w:val="28"/>
        </w:rPr>
        <w:t>=</w:t>
      </w:r>
      <w:r>
        <w:rPr>
          <w:sz w:val="28"/>
          <w:szCs w:val="28"/>
        </w:rPr>
        <w:t>75</w:t>
      </w:r>
      <w:r w:rsidRPr="007D7D8F">
        <w:rPr>
          <w:sz w:val="28"/>
          <w:szCs w:val="28"/>
        </w:rPr>
        <w:t xml:space="preserve"> </w:t>
      </w:r>
      <w:proofErr w:type="spellStart"/>
      <w:r w:rsidRPr="007D7D8F">
        <w:rPr>
          <w:sz w:val="28"/>
          <w:szCs w:val="28"/>
        </w:rPr>
        <w:t>Н∙м</w:t>
      </w:r>
      <w:proofErr w:type="spellEnd"/>
      <w:r w:rsidRPr="007D7D8F">
        <w:rPr>
          <w:sz w:val="28"/>
          <w:szCs w:val="28"/>
        </w:rPr>
        <w:t xml:space="preserve"> при частоте вращения коленчатого вала </w:t>
      </w:r>
      <w:r w:rsidRPr="007D7D8F">
        <w:rPr>
          <w:i/>
          <w:sz w:val="28"/>
          <w:szCs w:val="28"/>
        </w:rPr>
        <w:t>n</w:t>
      </w:r>
      <w:r w:rsidRPr="007D7D8F">
        <w:rPr>
          <w:sz w:val="28"/>
          <w:szCs w:val="28"/>
        </w:rPr>
        <w:t>=1</w:t>
      </w:r>
      <w:r>
        <w:rPr>
          <w:sz w:val="28"/>
          <w:szCs w:val="28"/>
        </w:rPr>
        <w:t>7</w:t>
      </w:r>
      <w:r w:rsidRPr="007D7D8F">
        <w:rPr>
          <w:sz w:val="28"/>
          <w:szCs w:val="28"/>
        </w:rPr>
        <w:t>00 мин</w:t>
      </w:r>
      <w:r w:rsidRPr="007D7D8F">
        <w:rPr>
          <w:sz w:val="28"/>
          <w:szCs w:val="28"/>
          <w:vertAlign w:val="superscript"/>
        </w:rPr>
        <w:t>−1</w:t>
      </w:r>
      <w:r w:rsidRPr="007D7D8F">
        <w:rPr>
          <w:sz w:val="28"/>
          <w:szCs w:val="28"/>
        </w:rPr>
        <w:t xml:space="preserve"> (номинальная частота вращения исследуемого дизеля </w:t>
      </w:r>
      <w:r>
        <w:rPr>
          <w:sz w:val="28"/>
          <w:szCs w:val="28"/>
        </w:rPr>
        <w:t>равна</w:t>
      </w:r>
      <w:r w:rsidRPr="007D7D8F">
        <w:rPr>
          <w:sz w:val="28"/>
          <w:szCs w:val="28"/>
        </w:rPr>
        <w:t xml:space="preserve"> 2400 мин</w:t>
      </w:r>
      <w:r w:rsidRPr="007D7D8F">
        <w:rPr>
          <w:sz w:val="28"/>
          <w:szCs w:val="28"/>
          <w:vertAlign w:val="superscript"/>
        </w:rPr>
        <w:t>−1</w:t>
      </w:r>
      <w:r w:rsidRPr="007D7D8F">
        <w:rPr>
          <w:sz w:val="28"/>
          <w:szCs w:val="28"/>
        </w:rPr>
        <w:t>).</w:t>
      </w:r>
    </w:p>
    <w:p w:rsidR="00596A0B" w:rsidRDefault="00596A0B" w:rsidP="00596A0B">
      <w:pPr>
        <w:spacing w:line="360" w:lineRule="auto"/>
        <w:jc w:val="both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 xml:space="preserve">УОВТ выбран равным </w:t>
      </w:r>
      <w:proofErr w:type="spellStart"/>
      <w:r w:rsidRPr="007D7D8F">
        <w:rPr>
          <w:bCs/>
          <w:sz w:val="28"/>
          <w:szCs w:val="28"/>
        </w:rPr>
        <w:t>φ</w:t>
      </w:r>
      <w:proofErr w:type="gramStart"/>
      <w:r w:rsidRPr="007D7D8F">
        <w:rPr>
          <w:bCs/>
          <w:sz w:val="28"/>
          <w:szCs w:val="28"/>
          <w:vertAlign w:val="subscript"/>
        </w:rPr>
        <w:t>о.вп</w:t>
      </w:r>
      <w:proofErr w:type="spellEnd"/>
      <w:proofErr w:type="gramEnd"/>
      <w:r w:rsidRPr="007D7D8F">
        <w:rPr>
          <w:bCs/>
          <w:sz w:val="28"/>
          <w:szCs w:val="28"/>
          <w:vertAlign w:val="subscript"/>
        </w:rPr>
        <w:t xml:space="preserve"> </w:t>
      </w:r>
      <w:r w:rsidRPr="007D7D8F">
        <w:rPr>
          <w:bCs/>
          <w:sz w:val="28"/>
          <w:szCs w:val="28"/>
        </w:rPr>
        <w:t>= 10° ПКВ до ВМТ.</w:t>
      </w:r>
    </w:p>
    <w:p w:rsidR="00596A0B" w:rsidRDefault="00596A0B" w:rsidP="00596A0B">
      <w:pPr>
        <w:spacing w:line="360" w:lineRule="auto"/>
        <w:jc w:val="both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 xml:space="preserve">Полученные при расчете значения были сведены в таблицу </w:t>
      </w:r>
      <w:r>
        <w:rPr>
          <w:bCs/>
          <w:sz w:val="28"/>
          <w:szCs w:val="28"/>
        </w:rPr>
        <w:t>2</w:t>
      </w:r>
    </w:p>
    <w:p w:rsidR="00D17F64" w:rsidRDefault="00D17F64" w:rsidP="00D17F64">
      <w:pPr>
        <w:spacing w:line="276" w:lineRule="auto"/>
        <w:jc w:val="right"/>
        <w:rPr>
          <w:noProof/>
          <w:lang w:eastAsia="ru-RU"/>
        </w:rPr>
      </w:pPr>
      <w:r>
        <w:rPr>
          <w:noProof/>
          <w:lang w:eastAsia="ru-RU"/>
        </w:rPr>
        <w:t>Таблица №1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75"/>
        <w:gridCol w:w="6345"/>
        <w:gridCol w:w="1925"/>
      </w:tblGrid>
      <w:tr w:rsidR="00D17F64" w:rsidTr="00D17F64">
        <w:tc>
          <w:tcPr>
            <w:tcW w:w="107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№ варианта впрыска</w:t>
            </w:r>
          </w:p>
        </w:tc>
        <w:tc>
          <w:tcPr>
            <w:tcW w:w="616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График</w:t>
            </w:r>
          </w:p>
        </w:tc>
        <w:tc>
          <w:tcPr>
            <w:tcW w:w="210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Описание характеристики</w:t>
            </w:r>
          </w:p>
        </w:tc>
      </w:tr>
      <w:tr w:rsidR="00D17F64" w:rsidTr="00D17F64">
        <w:tc>
          <w:tcPr>
            <w:tcW w:w="107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</w:t>
            </w:r>
          </w:p>
        </w:tc>
        <w:tc>
          <w:tcPr>
            <w:tcW w:w="616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E10CC8" wp14:editId="7FB426C6">
                  <wp:extent cx="3642359" cy="2008781"/>
                  <wp:effectExtent l="0" t="0" r="0" b="0"/>
                  <wp:docPr id="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59" cy="200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5" w:type="dxa"/>
          </w:tcPr>
          <w:p w:rsidR="00D17F64" w:rsidRDefault="00D17F64" w:rsidP="00E50AF7">
            <w:pPr>
              <w:spacing w:line="360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360" w:lineRule="auto"/>
              <w:jc w:val="center"/>
              <w:rPr>
                <w:noProof/>
                <w:lang w:eastAsia="ru-RU"/>
              </w:rPr>
            </w:pPr>
            <w:r w:rsidRPr="00D17F64">
              <w:rPr>
                <w:noProof/>
                <w:highlight w:val="yellow"/>
                <w:lang w:eastAsia="ru-RU"/>
              </w:rPr>
              <w:t>Подписать все</w:t>
            </w:r>
          </w:p>
          <w:p w:rsidR="00D17F64" w:rsidRDefault="00D17F64" w:rsidP="00E50AF7">
            <w:pPr>
              <w:spacing w:line="360" w:lineRule="auto"/>
              <w:jc w:val="center"/>
              <w:rPr>
                <w:noProof/>
                <w:lang w:eastAsia="ru-RU"/>
              </w:rPr>
            </w:pPr>
          </w:p>
        </w:tc>
      </w:tr>
      <w:tr w:rsidR="00D17F64" w:rsidTr="00D17F64">
        <w:tc>
          <w:tcPr>
            <w:tcW w:w="107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616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C13206B" wp14:editId="24CF6929">
                  <wp:extent cx="3777615" cy="2083375"/>
                  <wp:effectExtent l="0" t="0" r="0" b="0"/>
                  <wp:docPr id="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615" cy="208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5" w:type="dxa"/>
          </w:tcPr>
          <w:p w:rsidR="00D17F64" w:rsidRPr="00567D5B" w:rsidRDefault="00D17F64" w:rsidP="00E50AF7">
            <w:pPr>
              <w:jc w:val="center"/>
              <w:rPr>
                <w:noProof/>
              </w:rPr>
            </w:pPr>
          </w:p>
        </w:tc>
      </w:tr>
      <w:tr w:rsidR="00D17F64" w:rsidTr="00D17F64">
        <w:tc>
          <w:tcPr>
            <w:tcW w:w="107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3</w:t>
            </w:r>
          </w:p>
        </w:tc>
        <w:tc>
          <w:tcPr>
            <w:tcW w:w="6165" w:type="dxa"/>
          </w:tcPr>
          <w:p w:rsidR="00D17F64" w:rsidRDefault="00D17F64" w:rsidP="00E50AF7">
            <w:pPr>
              <w:spacing w:line="276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D65E75" wp14:editId="5C34B759">
                  <wp:extent cx="3891915" cy="2146413"/>
                  <wp:effectExtent l="0" t="0" r="0" b="6350"/>
                  <wp:docPr id="1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915" cy="2146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5" w:type="dxa"/>
          </w:tcPr>
          <w:p w:rsidR="00D17F64" w:rsidRDefault="00D17F64" w:rsidP="00D17F64">
            <w:pPr>
              <w:spacing w:line="276" w:lineRule="auto"/>
              <w:jc w:val="center"/>
              <w:rPr>
                <w:noProof/>
                <w:lang w:eastAsia="ru-RU"/>
              </w:rPr>
            </w:pPr>
          </w:p>
        </w:tc>
      </w:tr>
    </w:tbl>
    <w:p w:rsidR="00D17F64" w:rsidRDefault="00D17F64" w:rsidP="00D17F64">
      <w:pPr>
        <w:spacing w:line="276" w:lineRule="auto"/>
        <w:jc w:val="center"/>
        <w:rPr>
          <w:noProof/>
          <w:lang w:eastAsia="ru-RU"/>
        </w:rPr>
      </w:pPr>
    </w:p>
    <w:p w:rsidR="00D17F64" w:rsidRDefault="00D17F64" w:rsidP="00D17F64">
      <w:pPr>
        <w:spacing w:line="276" w:lineRule="auto"/>
        <w:jc w:val="right"/>
        <w:rPr>
          <w:noProof/>
          <w:lang w:eastAsia="ru-RU"/>
        </w:rPr>
      </w:pPr>
      <w:r>
        <w:rPr>
          <w:noProof/>
          <w:lang w:eastAsia="ru-RU"/>
        </w:rPr>
        <w:t>Таблица №2</w:t>
      </w:r>
    </w:p>
    <w:tbl>
      <w:tblPr>
        <w:tblpPr w:leftFromText="180" w:rightFromText="180" w:vertAnchor="text" w:horzAnchor="margin" w:tblpXSpec="center" w:tblpY="79"/>
        <w:tblW w:w="7471" w:type="dxa"/>
        <w:tblLook w:val="04A0" w:firstRow="1" w:lastRow="0" w:firstColumn="1" w:lastColumn="0" w:noHBand="0" w:noVBand="1"/>
      </w:tblPr>
      <w:tblGrid>
        <w:gridCol w:w="667"/>
        <w:gridCol w:w="1211"/>
        <w:gridCol w:w="960"/>
        <w:gridCol w:w="1225"/>
        <w:gridCol w:w="1225"/>
        <w:gridCol w:w="960"/>
        <w:gridCol w:w="1223"/>
      </w:tblGrid>
      <w:tr w:rsidR="00D17F64" w:rsidRPr="00D17F64" w:rsidTr="00957FB0">
        <w:trPr>
          <w:trHeight w:val="948"/>
        </w:trPr>
        <w:tc>
          <w:tcPr>
            <w:tcW w:w="6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D17F64" w:rsidRDefault="00D17F64" w:rsidP="00957FB0">
            <w:pPr>
              <w:spacing w:after="0" w:line="240" w:lineRule="auto"/>
              <w:ind w:left="-24" w:hanging="9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</w:t>
            </w: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АК, МПа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ар</w:t>
            </w:r>
            <w:proofErr w:type="spellEnd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-ка впрыска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NOx</w:t>
            </w:r>
            <w:proofErr w:type="spellEnd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млн</w:t>
            </w: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-1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PM, г/</w:t>
            </w:r>
            <w:proofErr w:type="spellStart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proofErr w:type="spellEnd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*Ч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CO2, г/</w:t>
            </w:r>
            <w:proofErr w:type="spellStart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кВТ</w:t>
            </w:r>
            <w:proofErr w:type="spellEnd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*Ч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</w:t>
            </w: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z</w:t>
            </w: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,К</w:t>
            </w:r>
            <w:proofErr w:type="spellEnd"/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dp</w:t>
            </w:r>
            <w:proofErr w:type="spellEnd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dfi</w:t>
            </w:r>
            <w:proofErr w:type="spellEnd"/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бар/град</w:t>
            </w:r>
          </w:p>
        </w:tc>
      </w:tr>
      <w:tr w:rsidR="00D17F64" w:rsidRPr="00D17F64" w:rsidTr="00D17F64">
        <w:trPr>
          <w:trHeight w:val="288"/>
        </w:trPr>
        <w:tc>
          <w:tcPr>
            <w:tcW w:w="6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1962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0,272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2060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3,16</w:t>
            </w:r>
          </w:p>
        </w:tc>
      </w:tr>
      <w:tr w:rsidR="00D17F64" w:rsidRPr="00D17F64" w:rsidTr="00D17F64">
        <w:trPr>
          <w:trHeight w:val="288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2187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2096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3,88</w:t>
            </w:r>
          </w:p>
        </w:tc>
      </w:tr>
      <w:tr w:rsidR="00D17F64" w:rsidRPr="00D17F64" w:rsidTr="00D17F64">
        <w:trPr>
          <w:trHeight w:val="300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2101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3,5</w:t>
            </w:r>
          </w:p>
        </w:tc>
      </w:tr>
      <w:tr w:rsidR="00D17F64" w:rsidRPr="00D17F64" w:rsidTr="00D17F64">
        <w:trPr>
          <w:trHeight w:val="288"/>
        </w:trPr>
        <w:tc>
          <w:tcPr>
            <w:tcW w:w="667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2170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0,258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2094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3,42</w:t>
            </w:r>
          </w:p>
        </w:tc>
      </w:tr>
      <w:tr w:rsidR="00D17F64" w:rsidRPr="00D17F64" w:rsidTr="00D17F64">
        <w:trPr>
          <w:trHeight w:val="288"/>
        </w:trPr>
        <w:tc>
          <w:tcPr>
            <w:tcW w:w="667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2339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2121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4,09</w:t>
            </w:r>
          </w:p>
        </w:tc>
      </w:tr>
      <w:tr w:rsidR="00D17F64" w:rsidRPr="00D17F64" w:rsidTr="00D17F64">
        <w:trPr>
          <w:trHeight w:val="300"/>
        </w:trPr>
        <w:tc>
          <w:tcPr>
            <w:tcW w:w="667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2405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2127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3,78</w:t>
            </w:r>
          </w:p>
        </w:tc>
      </w:tr>
      <w:tr w:rsidR="00D17F64" w:rsidRPr="00D17F64" w:rsidTr="00D17F64">
        <w:trPr>
          <w:trHeight w:val="288"/>
        </w:trPr>
        <w:tc>
          <w:tcPr>
            <w:tcW w:w="6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121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2284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0,25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2106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3,61</w:t>
            </w:r>
          </w:p>
        </w:tc>
      </w:tr>
      <w:tr w:rsidR="00D17F64" w:rsidRPr="00D17F64" w:rsidTr="00D17F64">
        <w:trPr>
          <w:trHeight w:val="288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2448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2137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4,26</w:t>
            </w:r>
          </w:p>
        </w:tc>
      </w:tr>
      <w:tr w:rsidR="00D17F64" w:rsidRPr="00D17F64" w:rsidTr="00D17F64">
        <w:trPr>
          <w:trHeight w:val="300"/>
        </w:trPr>
        <w:tc>
          <w:tcPr>
            <w:tcW w:w="6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D17F64" w:rsidRPr="00D17F64" w:rsidRDefault="00D17F64" w:rsidP="00D17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2527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0,179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2141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17F64" w:rsidRPr="00D17F64" w:rsidRDefault="00D17F64" w:rsidP="00D17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17F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3,97</w:t>
            </w:r>
          </w:p>
        </w:tc>
      </w:tr>
    </w:tbl>
    <w:p w:rsidR="00596A0B" w:rsidRDefault="00596A0B" w:rsidP="00596A0B">
      <w:pPr>
        <w:spacing w:line="360" w:lineRule="auto"/>
        <w:jc w:val="both"/>
        <w:rPr>
          <w:bCs/>
          <w:sz w:val="28"/>
          <w:szCs w:val="28"/>
        </w:rPr>
      </w:pPr>
    </w:p>
    <w:p w:rsidR="00D17F64" w:rsidRPr="004B3F1E" w:rsidRDefault="00D17F64" w:rsidP="004B3F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96A0B" w:rsidRDefault="00596A0B" w:rsidP="004B3F1E">
      <w:pPr>
        <w:rPr>
          <w:rFonts w:ascii="Times New Roman" w:hAnsi="Times New Roman" w:cs="Times New Roman"/>
          <w:sz w:val="28"/>
          <w:szCs w:val="28"/>
        </w:rPr>
      </w:pPr>
    </w:p>
    <w:p w:rsidR="0031352F" w:rsidRDefault="0031352F" w:rsidP="004B3F1E">
      <w:pPr>
        <w:rPr>
          <w:rFonts w:ascii="Times New Roman" w:hAnsi="Times New Roman" w:cs="Times New Roman"/>
          <w:sz w:val="28"/>
          <w:szCs w:val="28"/>
        </w:rPr>
      </w:pPr>
    </w:p>
    <w:p w:rsidR="0031352F" w:rsidRDefault="0031352F" w:rsidP="004B3F1E">
      <w:pPr>
        <w:rPr>
          <w:rFonts w:ascii="Times New Roman" w:hAnsi="Times New Roman" w:cs="Times New Roman"/>
          <w:sz w:val="28"/>
          <w:szCs w:val="28"/>
        </w:rPr>
      </w:pPr>
    </w:p>
    <w:p w:rsidR="0031352F" w:rsidRDefault="0031352F" w:rsidP="004B3F1E">
      <w:pPr>
        <w:rPr>
          <w:rFonts w:ascii="Times New Roman" w:hAnsi="Times New Roman" w:cs="Times New Roman"/>
          <w:sz w:val="28"/>
          <w:szCs w:val="28"/>
        </w:rPr>
      </w:pPr>
    </w:p>
    <w:p w:rsidR="0031352F" w:rsidRDefault="0031352F" w:rsidP="004B3F1E">
      <w:pPr>
        <w:rPr>
          <w:rFonts w:ascii="Times New Roman" w:hAnsi="Times New Roman" w:cs="Times New Roman"/>
          <w:sz w:val="28"/>
          <w:szCs w:val="28"/>
        </w:rPr>
      </w:pPr>
    </w:p>
    <w:p w:rsidR="0031352F" w:rsidRDefault="0031352F" w:rsidP="004B3F1E">
      <w:pPr>
        <w:rPr>
          <w:rFonts w:ascii="Times New Roman" w:hAnsi="Times New Roman" w:cs="Times New Roman"/>
          <w:sz w:val="28"/>
          <w:szCs w:val="28"/>
        </w:rPr>
      </w:pPr>
    </w:p>
    <w:p w:rsidR="00957FB0" w:rsidRPr="007D7D8F" w:rsidRDefault="00957FB0" w:rsidP="00957FB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>Для наглядности результатов, по данным таблицы были построены графики.</w:t>
      </w:r>
    </w:p>
    <w:p w:rsidR="0031352F" w:rsidRDefault="0031352F" w:rsidP="004B3F1E">
      <w:pPr>
        <w:rPr>
          <w:rFonts w:ascii="Times New Roman" w:hAnsi="Times New Roman" w:cs="Times New Roman"/>
          <w:sz w:val="28"/>
          <w:szCs w:val="28"/>
        </w:rPr>
      </w:pPr>
    </w:p>
    <w:p w:rsidR="0031352F" w:rsidRDefault="0031352F" w:rsidP="003135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F15C5B" wp14:editId="2F58520F">
            <wp:extent cx="4572000" cy="27432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31352F" w:rsidRDefault="0031352F" w:rsidP="003135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D7BCE3C" wp14:editId="1D496EE9">
            <wp:extent cx="4572000" cy="27432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1352F" w:rsidRDefault="0031352F" w:rsidP="0031352F">
      <w:pPr>
        <w:spacing w:line="360" w:lineRule="auto"/>
        <w:ind w:firstLine="709"/>
        <w:jc w:val="center"/>
        <w:rPr>
          <w:sz w:val="28"/>
          <w:szCs w:val="28"/>
        </w:rPr>
      </w:pPr>
      <w:r w:rsidRPr="007D7D8F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="000F0077" w:rsidRPr="000F0077">
        <w:rPr>
          <w:sz w:val="28"/>
          <w:szCs w:val="28"/>
        </w:rPr>
        <w:t>2</w:t>
      </w:r>
      <w:r w:rsidRPr="007D7D8F">
        <w:rPr>
          <w:sz w:val="28"/>
          <w:szCs w:val="28"/>
        </w:rPr>
        <w:t xml:space="preserve"> </w:t>
      </w:r>
      <w:r w:rsidRPr="0037690A">
        <w:rPr>
          <w:sz w:val="28"/>
          <w:szCs w:val="28"/>
          <w:highlight w:val="yellow"/>
        </w:rPr>
        <w:t xml:space="preserve">Влияние </w:t>
      </w:r>
      <w:r w:rsidR="0037690A" w:rsidRPr="0037690A">
        <w:rPr>
          <w:sz w:val="28"/>
          <w:szCs w:val="28"/>
          <w:highlight w:val="yellow"/>
        </w:rPr>
        <w:t>дифференциальной характеристики впрыска на показатели токсичности дизеля</w:t>
      </w:r>
    </w:p>
    <w:p w:rsidR="0031352F" w:rsidRDefault="0037690A" w:rsidP="00313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0F0077">
        <w:rPr>
          <w:rFonts w:ascii="Times New Roman" w:hAnsi="Times New Roman" w:cs="Times New Roman"/>
          <w:sz w:val="28"/>
          <w:szCs w:val="28"/>
        </w:rPr>
        <w:t>Вывод</w:t>
      </w:r>
    </w:p>
    <w:p w:rsidR="000F0077" w:rsidRPr="00D158B6" w:rsidRDefault="00D158B6" w:rsidP="00D15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полученных результатов, можно сделать вывод, что, улучшив качество управления давлением в ТС</w:t>
      </w:r>
      <w:r w:rsidR="00957FB0">
        <w:rPr>
          <w:rFonts w:ascii="Times New Roman" w:hAnsi="Times New Roman" w:cs="Times New Roman"/>
          <w:sz w:val="28"/>
          <w:szCs w:val="28"/>
        </w:rPr>
        <w:t>, а именно добившись первой дифференциальной характеристики впрыска, мы получаем снижения выбросов оксидов азота.</w:t>
      </w:r>
      <w:bookmarkStart w:id="0" w:name="_GoBack"/>
      <w:bookmarkEnd w:id="0"/>
    </w:p>
    <w:sectPr w:rsidR="000F0077" w:rsidRPr="00D15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EB"/>
    <w:rsid w:val="000F0077"/>
    <w:rsid w:val="001B1102"/>
    <w:rsid w:val="0031352F"/>
    <w:rsid w:val="0037690A"/>
    <w:rsid w:val="004B3F1E"/>
    <w:rsid w:val="00596A0B"/>
    <w:rsid w:val="00957FB0"/>
    <w:rsid w:val="00CB7BEB"/>
    <w:rsid w:val="00D158B6"/>
    <w:rsid w:val="00D1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C1BC7"/>
  <w15:chartTrackingRefBased/>
  <w15:docId w15:val="{819448DC-1056-495C-878B-2B58F2D9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B3F1E"/>
    <w:rPr>
      <w:color w:val="808080"/>
    </w:rPr>
  </w:style>
  <w:style w:type="paragraph" w:customStyle="1" w:styleId="0">
    <w:name w:val="0_стандарт"/>
    <w:basedOn w:val="a"/>
    <w:link w:val="00"/>
    <w:qFormat/>
    <w:rsid w:val="00596A0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00">
    <w:name w:val="0_стандарт Знак"/>
    <w:basedOn w:val="a0"/>
    <w:link w:val="0"/>
    <w:rsid w:val="00596A0B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4">
    <w:name w:val="Table Grid"/>
    <w:basedOn w:val="a1"/>
    <w:uiPriority w:val="39"/>
    <w:rsid w:val="00D1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1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Desktop\DIPLOM\&#1073;&#1091;&#1084;&#1072;&#1078;&#1082;&#1080;%20&#1085;&#1072;%20&#1076;&#1080;&#1087;&#1083;&#1086;&#1084;\&#1080;&#1089;&#1083;&#1077;&#1076;&#1086;&#1074;&#1072;&#1090;&#1077;&#1083;&#1100;&#1089;&#1082;&#1072;&#1103;%20&#1095;&#1072;&#1089;&#1090;&#1100;\&#1050;&#1085;&#1080;&#1075;&#1072;1%20(&#1042;&#1086;&#1089;&#1089;&#1090;&#1072;&#1085;&#1086;&#1074;&#1083;&#1077;&#1085;&#1085;&#1099;&#1081;)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Desktop\DIPLOM\&#1073;&#1091;&#1084;&#1072;&#1078;&#1082;&#1080;%20&#1085;&#1072;%20&#1076;&#1080;&#1087;&#1083;&#1086;&#1084;\&#1080;&#1089;&#1083;&#1077;&#1076;&#1086;&#1074;&#1072;&#1090;&#1077;&#1083;&#1100;&#1089;&#1082;&#1072;&#1103;%20&#1095;&#1072;&#1089;&#1090;&#1100;\&#1050;&#1085;&#1080;&#1075;&#1072;1%20(&#1042;&#1086;&#1089;&#1089;&#1090;&#1072;&#1085;&#1086;&#1074;&#1083;&#1077;&#1085;&#1085;&#1099;&#1081;)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081714785651792"/>
          <c:y val="5.0925925925925923E-2"/>
          <c:w val="0.61597025371828518"/>
          <c:h val="0.82775444736074655"/>
        </c:manualLayout>
      </c:layout>
      <c:barChart>
        <c:barDir val="col"/>
        <c:grouping val="clustered"/>
        <c:varyColors val="0"/>
        <c:ser>
          <c:idx val="0"/>
          <c:order val="0"/>
          <c:tx>
            <c:v>1-ый вариант хар-ки.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диф.харка.!$O$4</c:f>
              <c:numCache>
                <c:formatCode>General</c:formatCode>
                <c:ptCount val="1"/>
                <c:pt idx="0">
                  <c:v>1962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73-4937-8CEF-6C59CB520630}"/>
            </c:ext>
          </c:extLst>
        </c:ser>
        <c:ser>
          <c:idx val="1"/>
          <c:order val="1"/>
          <c:tx>
            <c:v>2-ый вариант хар-ки.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диф.харка.!$O$5</c:f>
              <c:numCache>
                <c:formatCode>General</c:formatCode>
                <c:ptCount val="1"/>
                <c:pt idx="0">
                  <c:v>2187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73-4937-8CEF-6C59CB520630}"/>
            </c:ext>
          </c:extLst>
        </c:ser>
        <c:ser>
          <c:idx val="2"/>
          <c:order val="2"/>
          <c:tx>
            <c:v>3-ый вариант хар-ки.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диф.харка.!$O$6</c:f>
              <c:numCache>
                <c:formatCode>General</c:formatCode>
                <c:ptCount val="1"/>
                <c:pt idx="0">
                  <c:v>2203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73-4937-8CEF-6C59CB520630}"/>
            </c:ext>
          </c:extLst>
        </c:ser>
        <c:ser>
          <c:idx val="3"/>
          <c:order val="3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1B73-4937-8CEF-6C59CB520630}"/>
            </c:ext>
          </c:extLst>
        </c:ser>
        <c:ser>
          <c:idx val="4"/>
          <c:order val="4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диф.харка.!$O$7</c:f>
              <c:numCache>
                <c:formatCode>General</c:formatCode>
                <c:ptCount val="1"/>
                <c:pt idx="0">
                  <c:v>2170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73-4937-8CEF-6C59CB520630}"/>
            </c:ext>
          </c:extLst>
        </c:ser>
        <c:ser>
          <c:idx val="5"/>
          <c:order val="5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диф.харка.!$O$8</c:f>
              <c:numCache>
                <c:formatCode>General</c:formatCode>
                <c:ptCount val="1"/>
                <c:pt idx="0">
                  <c:v>2339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B73-4937-8CEF-6C59CB520630}"/>
            </c:ext>
          </c:extLst>
        </c:ser>
        <c:ser>
          <c:idx val="6"/>
          <c:order val="6"/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диф.харка.!$O$9</c:f>
              <c:numCache>
                <c:formatCode>General</c:formatCode>
                <c:ptCount val="1"/>
                <c:pt idx="0">
                  <c:v>2405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B73-4937-8CEF-6C59CB520630}"/>
            </c:ext>
          </c:extLst>
        </c:ser>
        <c:ser>
          <c:idx val="7"/>
          <c:order val="7"/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7-1B73-4937-8CEF-6C59CB520630}"/>
            </c:ext>
          </c:extLst>
        </c:ser>
        <c:ser>
          <c:idx val="8"/>
          <c:order val="8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диф.харка.!$O$10</c:f>
              <c:numCache>
                <c:formatCode>General</c:formatCode>
                <c:ptCount val="1"/>
                <c:pt idx="0">
                  <c:v>2284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B73-4937-8CEF-6C59CB520630}"/>
            </c:ext>
          </c:extLst>
        </c:ser>
        <c:ser>
          <c:idx val="9"/>
          <c:order val="9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диф.харка.!$O$11</c:f>
              <c:numCache>
                <c:formatCode>General</c:formatCode>
                <c:ptCount val="1"/>
                <c:pt idx="0">
                  <c:v>2448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1B73-4937-8CEF-6C59CB520630}"/>
            </c:ext>
          </c:extLst>
        </c:ser>
        <c:ser>
          <c:idx val="10"/>
          <c:order val="10"/>
          <c:spPr>
            <a:solidFill>
              <a:schemeClr val="bg1">
                <a:lumMod val="8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диф.харка.!$O$12</c:f>
              <c:numCache>
                <c:formatCode>General</c:formatCode>
                <c:ptCount val="1"/>
                <c:pt idx="0">
                  <c:v>2527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B73-4937-8CEF-6C59CB52063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51346608"/>
        <c:axId val="451343328"/>
      </c:barChart>
      <c:catAx>
        <c:axId val="451346608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100	      150	</a:t>
                </a:r>
                <a:r>
                  <a:rPr lang="ru-RU" baseline="0"/>
                  <a:t>      </a:t>
                </a:r>
                <a:r>
                  <a:rPr lang="ru-RU"/>
                  <a:t>200</a:t>
                </a:r>
              </a:p>
            </c:rich>
          </c:tx>
          <c:layout>
            <c:manualLayout>
              <c:xMode val="edge"/>
              <c:yMode val="edge"/>
              <c:x val="0.21741666666666665"/>
              <c:y val="0.900879629629629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majorTickMark val="none"/>
        <c:minorTickMark val="none"/>
        <c:tickLblPos val="nextTo"/>
        <c:crossAx val="451343328"/>
        <c:crosses val="autoZero"/>
        <c:auto val="1"/>
        <c:lblAlgn val="ctr"/>
        <c:lblOffset val="100"/>
        <c:noMultiLvlLbl val="0"/>
      </c:catAx>
      <c:valAx>
        <c:axId val="451343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NOx, </a:t>
                </a:r>
                <a:r>
                  <a:rPr lang="ru-RU"/>
                  <a:t>млн-1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346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ayout>
        <c:manualLayout>
          <c:xMode val="edge"/>
          <c:yMode val="edge"/>
          <c:x val="0.73345406824146986"/>
          <c:y val="0.38744130941965588"/>
          <c:w val="0.2665459317585302"/>
          <c:h val="0.234376640419947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081714785651792"/>
          <c:y val="5.0925925925925923E-2"/>
          <c:w val="0.61597025371828518"/>
          <c:h val="0.82775444736074655"/>
        </c:manualLayout>
      </c:layout>
      <c:barChart>
        <c:barDir val="col"/>
        <c:grouping val="clustered"/>
        <c:varyColors val="0"/>
        <c:ser>
          <c:idx val="0"/>
          <c:order val="0"/>
          <c:tx>
            <c:v>1-ый вариант хар-ки.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диф.харка.!$P$4</c:f>
              <c:numCache>
                <c:formatCode>General</c:formatCode>
                <c:ptCount val="1"/>
                <c:pt idx="0">
                  <c:v>0.27200000000000002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C2-4B0D-B980-5951A203DD7D}"/>
            </c:ext>
          </c:extLst>
        </c:ser>
        <c:ser>
          <c:idx val="1"/>
          <c:order val="1"/>
          <c:tx>
            <c:v>2-ый вариант хар-ки.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диф.харка.!$P$5</c:f>
              <c:numCache>
                <c:formatCode>General</c:formatCode>
                <c:ptCount val="1"/>
                <c:pt idx="0">
                  <c:v>0.19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8C2-4B0D-B980-5951A203DD7D}"/>
            </c:ext>
          </c:extLst>
        </c:ser>
        <c:ser>
          <c:idx val="2"/>
          <c:order val="2"/>
          <c:tx>
            <c:v>3-ый вариант хар-ки.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диф.харка.!$P$6</c:f>
              <c:numCache>
                <c:formatCode>General</c:formatCode>
                <c:ptCount val="1"/>
                <c:pt idx="0">
                  <c:v>0.24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8C2-4B0D-B980-5951A203DD7D}"/>
            </c:ext>
          </c:extLst>
        </c:ser>
        <c:ser>
          <c:idx val="3"/>
          <c:order val="3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88C2-4B0D-B980-5951A203DD7D}"/>
            </c:ext>
          </c:extLst>
        </c:ser>
        <c:ser>
          <c:idx val="4"/>
          <c:order val="4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диф.харка.!$P$7</c:f>
              <c:numCache>
                <c:formatCode>General</c:formatCode>
                <c:ptCount val="1"/>
                <c:pt idx="0">
                  <c:v>0.25800000000000001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8C2-4B0D-B980-5951A203DD7D}"/>
            </c:ext>
          </c:extLst>
        </c:ser>
        <c:ser>
          <c:idx val="5"/>
          <c:order val="5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диф.харка.!$P$8</c:f>
              <c:numCache>
                <c:formatCode>General</c:formatCode>
                <c:ptCount val="1"/>
                <c:pt idx="0">
                  <c:v>0.16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8C2-4B0D-B980-5951A203DD7D}"/>
            </c:ext>
          </c:extLst>
        </c:ser>
        <c:ser>
          <c:idx val="6"/>
          <c:order val="6"/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диф.харка.!$P$9</c:f>
              <c:numCache>
                <c:formatCode>General</c:formatCode>
                <c:ptCount val="1"/>
                <c:pt idx="0">
                  <c:v>0.18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8C2-4B0D-B980-5951A203DD7D}"/>
            </c:ext>
          </c:extLst>
        </c:ser>
        <c:ser>
          <c:idx val="7"/>
          <c:order val="7"/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val>
            <c:numLit>
              <c:formatCode>General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7-88C2-4B0D-B980-5951A203DD7D}"/>
            </c:ext>
          </c:extLst>
        </c:ser>
        <c:ser>
          <c:idx val="8"/>
          <c:order val="8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диф.харка.!$P$10</c:f>
              <c:numCache>
                <c:formatCode>General</c:formatCode>
                <c:ptCount val="1"/>
                <c:pt idx="0">
                  <c:v>0.25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8C2-4B0D-B980-5951A203DD7D}"/>
            </c:ext>
          </c:extLst>
        </c:ser>
        <c:ser>
          <c:idx val="9"/>
          <c:order val="9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диф.харка.!$P$11</c:f>
              <c:numCache>
                <c:formatCode>General</c:formatCode>
                <c:ptCount val="1"/>
                <c:pt idx="0">
                  <c:v>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8C2-4B0D-B980-5951A203DD7D}"/>
            </c:ext>
          </c:extLst>
        </c:ser>
        <c:ser>
          <c:idx val="10"/>
          <c:order val="10"/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диф.харка.!$P$12</c:f>
              <c:numCache>
                <c:formatCode>General</c:formatCode>
                <c:ptCount val="1"/>
                <c:pt idx="0">
                  <c:v>0.17899999999999999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8C2-4B0D-B980-5951A203DD7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51346608"/>
        <c:axId val="451343328"/>
      </c:barChart>
      <c:catAx>
        <c:axId val="451346608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100	    150	     200</a:t>
                </a:r>
              </a:p>
            </c:rich>
          </c:tx>
          <c:layout>
            <c:manualLayout>
              <c:xMode val="edge"/>
              <c:yMode val="edge"/>
              <c:x val="0.20908333333333334"/>
              <c:y val="0.8962499999999999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majorTickMark val="none"/>
        <c:minorTickMark val="none"/>
        <c:tickLblPos val="nextTo"/>
        <c:crossAx val="451343328"/>
        <c:crosses val="autoZero"/>
        <c:auto val="1"/>
        <c:lblAlgn val="ctr"/>
        <c:lblOffset val="100"/>
        <c:noMultiLvlLbl val="0"/>
      </c:catAx>
      <c:valAx>
        <c:axId val="451343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PM, </a:t>
                </a:r>
                <a:r>
                  <a:rPr lang="ru-RU"/>
                  <a:t>г/кВТ*Ч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346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ayout>
        <c:manualLayout>
          <c:xMode val="edge"/>
          <c:yMode val="edge"/>
          <c:x val="0.73345406824146986"/>
          <c:y val="0.38744130941965588"/>
          <c:w val="0.2665459317585302"/>
          <c:h val="0.234376640419947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0.88167</cdr:x>
      <cdr:y>0.88202</cdr:y>
    </cdr:from>
    <cdr:to>
      <cdr:x>1</cdr:x>
      <cdr:y>0.98279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4030980" y="2419552"/>
          <a:ext cx="541020" cy="276444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0.88167</cdr:x>
      <cdr:y>0.88202</cdr:y>
    </cdr:from>
    <cdr:to>
      <cdr:x>1</cdr:x>
      <cdr:y>0.98279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4030980" y="2419552"/>
          <a:ext cx="541020" cy="276444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2022-04-09T08:26:00Z</dcterms:created>
  <dcterms:modified xsi:type="dcterms:W3CDTF">2022-04-09T13:32:00Z</dcterms:modified>
</cp:coreProperties>
</file>