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Title"/>
        <w:jc w:val="center"/>
      </w:pPr>
      <w:r>
        <w:rPr>
          <w:rtl w:val="0"/>
        </w:rPr>
        <w:t xml:space="preserve">GOLDEN WORD TO MARKDOWN TEST DOCUMENT</w:t>
      </w:r>
    </w:p>
    <w:p>
      <w:pPr>
        <w:pStyle w:val="Subtitle"/>
        <w:jc w:val="center"/>
      </w:pPr>
      <w:r>
        <w:rPr>
          <w:rtl w:val="0"/>
        </w:rPr>
        <w:t xml:space="preserve">Версия: 1.0</w:t>
      </w:r>
    </w:p>
    <w:p>
      <w:pPr>
        <w:pStyle w:val="Subtitle"/>
        <w:jc w:val="center"/>
      </w:pPr>
      <w:r>
        <w:rPr>
          <w:rtl w:val="0"/>
        </w:rPr>
        <w:t xml:space="preserve">Дата: 2026-08-21</w:t>
      </w:r>
    </w:p>
    <w:p>
      <w:pPr>
        <w:jc w:val="center"/>
      </w:pPr>
      <w:r>
        <w:rPr>
          <w:rtl w:val="0"/>
        </w:rPr>
        <w:br/>
        <w:t xml:space="preserve">Назначение: Проверка преобразования Office/Word документа в Markdown</w:t>
      </w:r>
    </w:p>
    <w:p>
      <w:pPr>
        <w:jc w:val="center"/>
      </w:pPr>
      <w:r>
        <w:rPr>
          <w:rtl w:val="0"/>
        </w:rPr>
        <w:br/>
        <w:br/>
        <w:t xml:space="preserve">[ТИТУЛЬНАЯ СТРАНИЦА]</w:t>
      </w:r>
    </w:p>
    <w:p>
      <w:pPr>
        <w:jc w:val="center"/>
      </w:pPr>
      <w:r>
        <w:rPr>
          <w:rtl w:val="0"/>
        </w:rPr>
        <w:t xml:space="preserve">Название документа: Golden Word Test Document</w:t>
      </w:r>
    </w:p>
    <w:p>
      <w:pPr>
        <w:jc w:val="center"/>
      </w:pPr>
      <w:r>
        <w:rPr>
          <w:rtl w:val="0"/>
        </w:rPr>
        <w:t xml:space="preserve">Подзаголовок: Полное покрытие элементов Word для проверки конвертера в Markdown</w:t>
      </w:r>
    </w:p>
    <w:p>
      <w:pPr>
        <w:jc w:val="center"/>
      </w:pPr>
      <w:r>
        <w:rPr>
          <w:rtl w:val="0"/>
        </w:rPr>
        <w:t xml:space="preserve">Автор: Test Suite</w:t>
      </w:r>
    </w:p>
    <w:p>
      <w:pPr>
        <w:jc w:val="center"/>
      </w:pPr>
      <w:r>
        <w:rPr>
          <w:rtl w:val="0"/>
        </w:rPr>
        <w:t xml:space="preserve">Проект: Office-to-Markdown Converter Validation</w:t>
      </w:r>
    </w:p>
    <w:p>
      <w:pPr>
        <w:jc w:val="center"/>
      </w:pPr>
      <w:r>
        <w:rPr>
          <w:rtl w:val="0"/>
        </w:rPr>
        <w:t xml:space="preserve">Статус: Draft / Review / Final</w:t>
      </w:r>
    </w:p>
    <w:p>
      <w:pPr>
        <w:jc w:val="center"/>
      </w:pPr>
      <w:r>
        <w:rPr>
          <w:rtl w:val="0"/>
        </w:rPr>
        <w:t xml:space="preserve">Конфиденциальность: Internal Test Only</w:t>
      </w:r>
    </w:p>
    <w:p>
      <w:r>
        <w:br w:type="page"/>
      </w:r>
    </w:p>
    <w:p>
      <w:pPr>
        <w:pStyle w:val="Heading1"/>
      </w:pPr>
      <w:bookmarkStart w:id="0" w:name="_Toc000000001"/>
      <w:r>
        <w:rPr>
          <w:rtl w:val="0"/>
        </w:rPr>
        <w:t xml:space="preserve">[ОГЛАВЛЕНИЕ]</w:t>
      </w:r>
      <w:bookmarkEnd w:id="0"/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pPr>
            <w:pStyle w:val="TOC1"/>
            <w:tabs>
              <w:tab w:val="right" w:leader="dot" w:pos="863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01" w:history="1">
            <w:r>
              <w:t xml:space="preserve">[ОГЛАВЛЕНИЕ]</w:t>
              <w:tab/>
              <w:t xml:space="preserve">2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02" w:history="1">
            <w:r>
              <w:t xml:space="preserve">1. Heading Level 1 / Заголовок уровня 1</w:t>
              <w:tab/>
              <w:t xml:space="preserve">4</w:t>
            </w:r>
          </w:hyperlink>
        </w:p>
        <w:p>
          <w:pPr>
            <w:pStyle w:val="TOC2"/>
            <w:tabs>
              <w:tab w:val="right" w:leader="dot" w:pos="8630"/>
            </w:tabs>
          </w:pPr>
          <w:hyperlink w:anchor="_Toc000000003" w:history="1">
            <w:r>
              <w:t xml:space="preserve">1.1. Heading Level 2 / Заголовок уровня 2</w:t>
              <w:tab/>
              <w:t xml:space="preserve">4</w:t>
            </w:r>
          </w:hyperlink>
        </w:p>
        <w:p>
          <w:pPr>
            <w:pStyle w:val="TOC3"/>
            <w:tabs>
              <w:tab w:val="right" w:leader="dot" w:pos="8630"/>
            </w:tabs>
          </w:pPr>
          <w:hyperlink w:anchor="_Toc000000004" w:history="1">
            <w:r>
              <w:t xml:space="preserve">1.1.1. Heading Level 3 / Заголовок уровня 3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05" w:history="1">
            <w:r>
              <w:t xml:space="preserve">2. Текстовое форматирование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06" w:history="1">
            <w:r>
              <w:t xml:space="preserve">3. Абзацы и отступы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07" w:history="1">
            <w:r>
              <w:t xml:space="preserve">4. Списки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08" w:history="1">
            <w:r>
              <w:t xml:space="preserve">5. Цитаты</w:t>
              <w:tab/>
              <w:t xml:space="preserve">6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09" w:history="1">
            <w:r>
              <w:t xml:space="preserve">6. Ссылки и перекрёстные ссылки</w:t>
              <w:tab/>
              <w:t xml:space="preserve">6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0" w:history="1">
            <w:r>
              <w:t xml:space="preserve">7. Таблицы</w:t>
              <w:tab/>
              <w:t xml:space="preserve">7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1" w:history="1">
            <w:r>
              <w:t xml:space="preserve">8. Изображения и подписи</w:t>
              <w:tab/>
              <w:t xml:space="preserve">7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2" w:history="1">
            <w:r>
              <w:t xml:space="preserve">9. Код и preformatted blocks</w:t>
              <w:tab/>
              <w:t xml:space="preserve">8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3" w:history="1">
            <w:r>
              <w:t xml:space="preserve">10. Формулы</w:t>
              <w:tab/>
              <w:t xml:space="preserve">8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4" w:history="1">
            <w:r>
              <w:t xml:space="preserve">11. Сноски и концевые сноски</w:t>
              <w:tab/>
              <w:t xml:space="preserve">9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5" w:history="1">
            <w:r>
              <w:t xml:space="preserve">12. Символы и Unicode</w:t>
              <w:tab/>
              <w:t xml:space="preserve">9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6" w:history="1">
            <w:r>
              <w:t xml:space="preserve">13. Разрывы и секции</w:t>
              <w:tab/>
              <w:t xml:space="preserve">9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7" w:history="1">
            <w:r>
              <w:t xml:space="preserve">14. Колонки</w:t>
              <w:tab/>
              <w:t xml:space="preserve">2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8" w:history="1">
            <w:r>
              <w:t xml:space="preserve">15. Колонтитулы и нумерация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19" w:history="1">
            <w:r>
              <w:t xml:space="preserve">16. Комментарии и исправления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0" w:history="1">
            <w:r>
              <w:t xml:space="preserve">17. Закладки и поля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1" w:history="1">
            <w:r>
              <w:t xml:space="preserve">18. Текстовые блоки и объекты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2" w:history="1">
            <w:r>
              <w:t xml:space="preserve">19. Формы и элементы управления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3" w:history="1">
            <w:r>
              <w:t xml:space="preserve">20. Язык, переносы и проверка орфографии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4" w:history="1">
            <w:r>
              <w:t xml:space="preserve">21. Длинные абзацы и переносы строк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5" w:history="1">
            <w:r>
              <w:t xml:space="preserve">22. Приложение A</w:t>
              <w:tab/>
              <w:t xml:space="preserve">5</w:t>
            </w:r>
          </w:hyperlink>
        </w:p>
        <w:p>
          <w:pPr>
            <w:pStyle w:val="TOC2"/>
            <w:tabs>
              <w:tab w:val="right" w:leader="dot" w:pos="8630"/>
            </w:tabs>
          </w:pPr>
          <w:hyperlink w:anchor="_Toc000000026" w:history="1">
            <w:r>
              <w:t xml:space="preserve">A.1. Термины</w:t>
              <w:tab/>
              <w:t xml:space="preserve">5</w:t>
            </w:r>
          </w:hyperlink>
        </w:p>
        <w:p>
          <w:pPr>
            <w:pStyle w:val="TOC2"/>
            <w:tabs>
              <w:tab w:val="right" w:leader="dot" w:pos="8630"/>
            </w:tabs>
          </w:pPr>
          <w:hyperlink w:anchor="_Toc000000027" w:history="1">
            <w:r>
              <w:t xml:space="preserve">A.2. Ожидаемое поведение конвертера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8630"/>
            </w:tabs>
          </w:pPr>
          <w:hyperlink w:anchor="_Toc000000028" w:history="1">
            <w:r>
              <w:t xml:space="preserve">23. Финальный контрольный абзац</w:t>
              <w:tab/>
              <w:t xml:space="preserve">6</w:t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" w:name="_Toc000000002"/>
      <w:r>
        <w:rPr>
          <w:rtl w:val="0"/>
        </w:rPr>
        <w:t xml:space="preserve">1. Heading Level 1 / Заголовок уровня 1</w:t>
      </w:r>
      <w:bookmarkEnd w:id="1"/>
    </w:p>
    <w:p>
      <w:r>
        <w:rPr>
          <w:rtl w:val="0"/>
        </w:rPr>
        <w:t xml:space="preserve">Это обычный абзац. Он содержит текст на русском, English text, и немного mixed-language content.</w:t>
      </w:r>
    </w:p>
    <w:p>
      <w:r>
        <w:rPr>
          <w:rtl w:val="0"/>
        </w:rPr>
        <w:t xml:space="preserve">Это второй абзац с коротким предложением.</w:t>
      </w:r>
    </w:p>
    <w:p>
      <w:r>
        <w:rPr>
          <w:rtl w:val="0"/>
        </w:rPr>
        <w:t xml:space="preserve">Это третий абзац, в котором есть: </w:t>
      </w:r>
      <w:r>
        <w:rPr>
          <w:b/>
          <w:bCs/>
          <w:rtl w:val="0"/>
        </w:rPr>
        <w:t xml:space="preserve">полужирный текст, </w:t>
      </w:r>
      <w:r>
        <w:rPr>
          <w:i/>
          <w:iCs/>
          <w:rtl w:val="0"/>
        </w:rPr>
        <w:t xml:space="preserve">курсив, </w:t>
      </w:r>
      <w:r>
        <w:rPr>
          <w:b/>
          <w:bCs/>
          <w:i/>
          <w:iCs/>
          <w:rtl w:val="0"/>
        </w:rPr>
        <w:t xml:space="preserve">полужирный курсив, </w:t>
      </w:r>
      <w:r>
        <w:rPr>
          <w:u w:val="single"/>
          <w:rtl w:val="0"/>
        </w:rPr>
        <w:t xml:space="preserve">подчеркнутый текст, </w:t>
      </w:r>
      <w:r>
        <w:rPr>
          <w:strike/>
          <w:rtl w:val="0"/>
        </w:rPr>
        <w:t xml:space="preserve">зачеркнутый текст, </w:t>
      </w:r>
      <w:r>
        <w:rPr>
          <w:rtl w:val="0"/>
        </w:rPr>
        <w:t xml:space="preserve">верхний индекс x</w:t>
      </w:r>
      <w:r>
        <w:rPr>
          <w:vertAlign w:val="superscript"/>
          <w:rtl w:val="0"/>
        </w:rPr>
        <w:t xml:space="preserve">2</w:t>
      </w:r>
      <w:r>
        <w:rPr>
          <w:rtl w:val="0"/>
        </w:rPr>
        <w:t xml:space="preserve">, нижний индекс H</w:t>
      </w:r>
      <w:r>
        <w:rPr>
          <w:vertAlign w:val="subscript"/>
          <w:rtl w:val="0"/>
        </w:rPr>
        <w:t xml:space="preserve">2</w:t>
      </w:r>
      <w:r>
        <w:rPr>
          <w:rtl w:val="0"/>
        </w:rPr>
        <w:t xml:space="preserve">O, а также </w:t>
      </w:r>
      <w:r>
        <w:rPr>
          <w:highlight w:val="yellow"/>
          <w:rtl w:val="0"/>
        </w:rPr>
        <w:t xml:space="preserve">выделение цветом.</w:t>
      </w:r>
    </w:p>
    <w:p>
      <w:pPr>
        <w:pStyle w:val="Heading2"/>
      </w:pPr>
      <w:bookmarkStart w:id="2" w:name="_Toc000000003"/>
      <w:r>
        <w:rPr>
          <w:rtl w:val="0"/>
        </w:rPr>
        <w:t xml:space="preserve">1.1. Heading Level 2 / Заголовок уровня 2</w:t>
      </w:r>
      <w:bookmarkEnd w:id="2"/>
    </w:p>
    <w:p>
      <w:r>
        <w:rPr>
          <w:rtl w:val="0"/>
        </w:rPr>
        <w:t xml:space="preserve">Ниже приведён текст с типографическими символами:</w:t>
        <w:br/>
        <w:t xml:space="preserve">кавычки “ёлочки”, "двойные", ‘одинарные’, длинное тире —, короткое тире –, многоточие …, знак №, §, ©, ®, ™.</w:t>
      </w:r>
    </w:p>
    <w:p>
      <w:pPr>
        <w:pStyle w:val="Heading3"/>
      </w:pPr>
      <w:bookmarkStart w:id="3" w:name="_Toc000000004"/>
      <w:r>
        <w:rPr>
          <w:rtl w:val="0"/>
        </w:rPr>
        <w:t xml:space="preserve">1.1.1. Heading Level 3 / Заголовок уровня 3</w:t>
      </w:r>
      <w:bookmarkEnd w:id="3"/>
    </w:p>
    <w:p>
      <w:r>
        <w:rPr>
          <w:rtl w:val="0"/>
        </w:rPr>
        <w:t xml:space="preserve">Текст со специальными пробелами:</w:t>
        <w:br/>
        <w:t xml:space="preserve">обычный пробел,</w:t>
        <w:br/>
        <w:t xml:space="preserve">неразрывный пробел между “100” и “кг”,</w:t>
        <w:br/>
        <w:t xml:space="preserve">тонкий пробел ,</w:t>
        <w:br/>
        <w:t xml:space="preserve">а также слово с мягким переносом: супердлинноесло</w:t>
        <w:softHyphen/>
        <w:t xml:space="preserve">во.</w:t>
      </w:r>
    </w:p>
    <w:p>
      <w:pPr>
        <w:pStyle w:val="Heading4"/>
      </w:pPr>
      <w:r>
        <w:rPr>
          <w:rtl w:val="0"/>
        </w:rPr>
        <w:t xml:space="preserve">1.1.1.1. Heading Level 4 / Заголовок уровня 4</w:t>
      </w:r>
    </w:p>
    <w:p>
      <w:r>
        <w:rPr>
          <w:rtl w:val="0"/>
        </w:rPr>
        <w:t xml:space="preserve">Ниже идёт пример встроенного кода: print("Hello, world!")</w:t>
        <w:br/>
        <w:t xml:space="preserve">И пример имени файла: report_final_v2.docx</w:t>
        <w:br/>
        <w:t xml:space="preserve">И пример пути: C:\Projects\Converter\Tests\golden.docx</w:t>
      </w:r>
    </w:p>
    <w:p>
      <w:pPr>
        <w:pStyle w:val="Heading5"/>
      </w:pPr>
      <w:r>
        <w:rPr>
          <w:rtl w:val="0"/>
        </w:rPr>
        <w:t xml:space="preserve">1.1.1.1.1. Heading Level 5 / Заголовок уровня 5</w:t>
      </w:r>
    </w:p>
    <w:p>
      <w:r>
        <w:rPr>
          <w:rtl w:val="0"/>
        </w:rPr>
        <w:t xml:space="preserve">Короткий абзац для проверки глубоких уровней заголовков.</w:t>
      </w:r>
    </w:p>
    <w:p>
      <w:pPr>
        <w:pStyle w:val="Heading6"/>
      </w:pPr>
      <w:r>
        <w:rPr>
          <w:rtl w:val="0"/>
        </w:rPr>
        <w:t xml:space="preserve">1.1.1.1.1.1. Heading Level 6 / Заголовок уровня 6</w:t>
      </w:r>
    </w:p>
    <w:p>
      <w:r>
        <w:rPr>
          <w:rtl w:val="0"/>
        </w:rPr>
        <w:t xml:space="preserve">Самый глубокий заголовок для проверки Markdown-совместимости.</w:t>
      </w:r>
    </w:p>
    <w:p>
      <w:pPr>
        <w:pStyle w:val="Heading1"/>
      </w:pPr>
      <w:bookmarkStart w:id="4" w:name="_Toc000000005"/>
      <w:r>
        <w:rPr>
          <w:rtl w:val="0"/>
        </w:rPr>
        <w:t xml:space="preserve">2. Текстовое форматирование</w:t>
      </w:r>
      <w:bookmarkEnd w:id="4"/>
    </w:p>
    <w:p>
      <w:r>
        <w:rPr>
          <w:rtl w:val="0"/>
        </w:rPr>
        <w:t xml:space="preserve">Обычный текст.</w:t>
      </w:r>
    </w:p>
    <w:p>
      <w:r>
        <w:rPr>
          <w:b/>
          <w:bCs/>
          <w:rtl w:val="0"/>
        </w:rPr>
        <w:t xml:space="preserve">Полужирный текст.</w:t>
      </w:r>
    </w:p>
    <w:p>
      <w:r>
        <w:rPr>
          <w:i/>
          <w:iCs/>
          <w:rtl w:val="0"/>
        </w:rPr>
        <w:t xml:space="preserve">Курсивный текст.</w:t>
      </w:r>
    </w:p>
    <w:p>
      <w:r>
        <w:rPr>
          <w:b/>
          <w:bCs/>
          <w:i/>
          <w:iCs/>
          <w:rtl w:val="0"/>
        </w:rPr>
        <w:t xml:space="preserve">Полужирный курсивный текст.</w:t>
      </w:r>
    </w:p>
    <w:p>
      <w:r>
        <w:rPr>
          <w:u w:val="single"/>
          <w:rtl w:val="0"/>
        </w:rPr>
        <w:t xml:space="preserve">Подчёркнутый текст.</w:t>
      </w:r>
    </w:p>
    <w:p>
      <w:r>
        <w:rPr>
          <w:strike/>
          <w:rtl w:val="0"/>
        </w:rPr>
        <w:t xml:space="preserve">Зачёркнутый текст.</w:t>
      </w:r>
    </w:p>
    <w:p>
      <w:r>
        <w:rPr>
          <w:smallCaps/>
          <w:rtl w:val="0"/>
        </w:rPr>
        <w:t xml:space="preserve">ТЕКСТ ВЕРХНИМ РЕГИСТРОМ.</w:t>
      </w:r>
    </w:p>
    <w:p>
      <w:r>
        <w:rPr>
          <w:rtl w:val="0"/>
        </w:rPr>
        <w:t xml:space="preserve">Текст нижним регистром.</w:t>
      </w:r>
    </w:p>
    <w:p>
      <w:r>
        <w:rPr>
          <w:rtl w:val="0"/>
        </w:rPr>
        <w:t xml:space="preserve">Текст с разрЯдкой.</w:t>
      </w:r>
    </w:p>
    <w:p>
      <w:pPr>
        <w:spacing w:line="360" w:lineRule="auto"/>
      </w:pPr>
      <w:r>
        <w:rPr>
          <w:rtl w:val="0"/>
        </w:rPr>
        <w:t xml:space="preserve">Текст с изменённым межстрочным интервалом.</w:t>
      </w:r>
    </w:p>
    <w:p>
      <w:pPr>
        <w:jc w:val="left"/>
      </w:pPr>
      <w:r>
        <w:rPr>
          <w:rtl w:val="0"/>
        </w:rPr>
        <w:t xml:space="preserve">Текст с выравниванием по левому краю.</w:t>
      </w:r>
    </w:p>
    <w:p>
      <w:pPr>
        <w:jc w:val="center"/>
      </w:pPr>
      <w:r>
        <w:rPr>
          <w:rtl w:val="0"/>
        </w:rPr>
        <w:t xml:space="preserve">Текст с выравниванием по центру.</w:t>
      </w:r>
    </w:p>
    <w:p>
      <w:pPr>
        <w:jc w:val="right"/>
      </w:pPr>
      <w:r>
        <w:rPr>
          <w:rtl w:val="0"/>
        </w:rPr>
        <w:t xml:space="preserve">Текст с выравниванием по правому краю.</w:t>
      </w:r>
    </w:p>
    <w:p>
      <w:pPr>
        <w:jc w:val="both"/>
      </w:pPr>
      <w:r>
        <w:rPr>
          <w:rtl w:val="0"/>
        </w:rPr>
        <w:t xml:space="preserve">Текст с выравниванием по ширине. (Здесь должно быть достаточно текста, чтобы увидеть эффект выравнивания по ширине документа).</w:t>
      </w:r>
    </w:p>
    <w:p>
      <w:pPr>
        <w:pStyle w:val="Heading1"/>
      </w:pPr>
      <w:bookmarkStart w:id="5" w:name="_Toc000000006"/>
      <w:r>
        <w:rPr>
          <w:rtl w:val="0"/>
        </w:rPr>
        <w:t xml:space="preserve">3. Абзацы и отступы</w:t>
      </w:r>
      <w:bookmarkEnd w:id="5"/>
    </w:p>
    <w:p>
      <w:r>
        <w:rPr>
          <w:rtl w:val="0"/>
        </w:rPr>
        <w:t xml:space="preserve">Абзац без отступа.</w:t>
      </w:r>
    </w:p>
    <w:p>
      <w:pPr>
        <w:ind w:firstLine="720"/>
      </w:pPr>
      <w:r>
        <w:rPr>
          <w:rtl w:val="0"/>
        </w:rPr>
        <w:t xml:space="preserve">Абзац с отступом первой строки.</w:t>
      </w:r>
    </w:p>
    <w:p>
      <w:pPr>
        <w:spacing w:before="480"/>
      </w:pPr>
      <w:r>
        <w:rPr>
          <w:rtl w:val="0"/>
        </w:rPr>
        <w:t xml:space="preserve">Абзац с увеличенным интервалом перед.</w:t>
      </w:r>
    </w:p>
    <w:p>
      <w:pPr>
        <w:spacing w:after="480"/>
      </w:pPr>
      <w:r>
        <w:rPr>
          <w:rtl w:val="0"/>
        </w:rPr>
        <w:t xml:space="preserve">Абзац с увеличенным интервалом после.</w:t>
      </w:r>
    </w:p>
    <w:p>
      <w:r>
        <w:rPr>
          <w:rtl w:val="0"/>
        </w:rPr>
        <w:t xml:space="preserve">Абзац внутри рамки. [Placeholders for border/shading]</w:t>
      </w:r>
    </w:p>
    <w:p>
      <w:r>
        <w:rPr>
          <w:rtl w:val="0"/>
        </w:rPr>
        <w:t xml:space="preserve">Абзац с заливкой фона. [Placeholders for shading]</w:t>
      </w:r>
    </w:p>
    <w:p>
      <w:pPr>
        <w:pStyle w:val="Heading1"/>
      </w:pPr>
      <w:bookmarkStart w:id="6" w:name="_Toc000000007"/>
      <w:r>
        <w:rPr>
          <w:rtl w:val="0"/>
        </w:rPr>
        <w:t xml:space="preserve">4. Списки</w:t>
      </w:r>
      <w:bookmarkEnd w:id="6"/>
    </w:p>
    <w:p>
      <w:r>
        <w:rPr>
          <w:rtl w:val="0"/>
        </w:rPr>
        <w:t xml:space="preserve">Маркированный список: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Элемент 1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Элемент 2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Элемент 3</w:t>
      </w:r>
    </w:p>
    <w:p>
      <w:r>
        <w:rPr>
          <w:rtl w:val="0"/>
        </w:rPr>
        <w:t xml:space="preserve">Нумерованный список: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Первый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Второй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Третий</w:t>
      </w:r>
    </w:p>
    <w:p>
      <w:r>
        <w:rPr>
          <w:rtl w:val="0"/>
        </w:rPr>
        <w:t xml:space="preserve">Многоуровневый список: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Уровень 1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Уровень 2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Уровень 3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Уровень 1, второй пункт</w:t>
      </w:r>
    </w:p>
    <w:p>
      <w:r>
        <w:rPr>
          <w:rtl w:val="0"/>
        </w:rPr>
        <w:t xml:space="preserve">Смешанный список: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Шаг первый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Подпункт A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Подпункт B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Шаг второй</w:t>
      </w:r>
    </w:p>
    <w:p>
      <w:r>
        <w:rPr>
          <w:rtl w:val="0"/>
        </w:rPr>
        <w:t xml:space="preserve">Checklist:</w:t>
        <w:br/>
        <w:t xml:space="preserve">☐ Не выполнено</w:t>
        <w:br/>
        <w:t xml:space="preserve">☑ Выполнено</w:t>
        <w:br/>
        <w:t xml:space="preserve">☐ Требует уточнения</w:t>
      </w:r>
    </w:p>
    <w:p>
      <w:pPr>
        <w:pStyle w:val="Heading1"/>
      </w:pPr>
      <w:bookmarkStart w:id="7" w:name="_Toc000000008"/>
      <w:r>
        <w:rPr>
          <w:rtl w:val="0"/>
        </w:rPr>
        <w:t xml:space="preserve">5. Цитаты</w:t>
      </w:r>
      <w:bookmarkEnd w:id="7"/>
    </w:p>
    <w:p>
      <w:r>
        <w:rPr>
          <w:rtl w:val="0"/>
        </w:rPr>
        <w:t xml:space="preserve">Обычная цитата:</w:t>
      </w:r>
    </w:p>
    <w:p>
      <w:r>
        <w:rPr>
          <w:i/>
          <w:iCs/>
          <w:rtl w:val="0"/>
        </w:rPr>
        <w:t xml:space="preserve">“Простота — необходимое условие прекрасного.” — Л. Н. Толстой</w:t>
      </w:r>
    </w:p>
    <w:p>
      <w:r>
        <w:rPr>
          <w:rtl w:val="0"/>
        </w:rPr>
        <w:t xml:space="preserve">Многоабзацная цитата:</w:t>
      </w:r>
    </w:p>
    <w:p>
      <w:r>
        <w:rPr>
          <w:i/>
          <w:iCs/>
          <w:rtl w:val="0"/>
        </w:rPr>
        <w:t xml:space="preserve">Первый абзац цитаты.</w:t>
      </w:r>
    </w:p>
    <w:p>
      <w:r>
        <w:rPr>
          <w:i/>
          <w:iCs/>
          <w:rtl w:val="0"/>
        </w:rPr>
        <w:t xml:space="preserve">Второй абзац цитаты.</w:t>
      </w:r>
    </w:p>
    <w:p>
      <w:r>
        <w:rPr>
          <w:i/>
          <w:iCs/>
          <w:rtl w:val="0"/>
        </w:rPr>
        <w:t xml:space="preserve">Третий абзац цитаты с выделением и ссылкой.</w:t>
      </w:r>
    </w:p>
    <w:p>
      <w:pPr>
        <w:pStyle w:val="Heading1"/>
      </w:pPr>
      <w:bookmarkStart w:id="8" w:name="_Toc000000009"/>
      <w:r>
        <w:rPr>
          <w:rtl w:val="0"/>
        </w:rPr>
        <w:t xml:space="preserve">6. Ссылки и перекрёстные ссылки</w:t>
      </w:r>
      <w:bookmarkEnd w:id="8"/>
    </w:p>
    <w:p>
      <w:r>
        <w:rPr>
          <w:rtl w:val="0"/>
        </w:rPr>
        <w:t xml:space="preserve">Веб-ссылка: https://example.com</w:t>
      </w:r>
    </w:p>
    <w:p>
      <w:r>
        <w:rPr>
          <w:rtl w:val="0"/>
        </w:rPr>
        <w:t xml:space="preserve">Текстовая ссылка: Example Website</w:t>
      </w:r>
    </w:p>
    <w:p>
      <w:r>
        <w:rPr>
          <w:rtl w:val="0"/>
        </w:rPr>
        <w:t xml:space="preserve">Email: test@example.com</w:t>
      </w:r>
    </w:p>
    <w:p>
      <w:r>
        <w:rPr>
          <w:rtl w:val="0"/>
        </w:rPr>
        <w:t xml:space="preserve">Ссылка на раздел “Таблицы”.</w:t>
      </w:r>
    </w:p>
    <w:p>
      <w:r>
        <w:rPr>
          <w:rtl w:val="0"/>
        </w:rPr>
        <w:t xml:space="preserve">Ссылка на рисунок “Рисунок 1”.</w:t>
      </w:r>
    </w:p>
    <w:p>
      <w:r>
        <w:rPr>
          <w:rtl w:val="0"/>
        </w:rPr>
        <w:t xml:space="preserve">Ссылка на таблицу “Таблица 2”.</w:t>
      </w:r>
    </w:p>
    <w:p>
      <w:r>
        <w:rPr>
          <w:rtl w:val="0"/>
        </w:rPr>
        <w:t xml:space="preserve">Ссылка на сноску 1.</w:t>
      </w:r>
    </w:p>
    <w:p>
      <w:pPr>
        <w:pStyle w:val="Heading1"/>
      </w:pPr>
      <w:bookmarkStart w:id="9" w:name="_Toc000000010"/>
      <w:r>
        <w:rPr>
          <w:rtl w:val="0"/>
        </w:rPr>
        <w:t xml:space="preserve">7. Таблицы</w:t>
      </w:r>
      <w:bookmarkEnd w:id="9"/>
    </w:p>
    <w:p>
      <w:r>
        <w:rPr>
          <w:rtl w:val="0"/>
        </w:rPr>
        <w:t xml:space="preserve">Таблица 1. Простая таблица</w:t>
      </w:r>
    </w:p>
    <w:tbl>
      <w:tblPr>
        <w:tblStyle w:val="Table1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0" w:type="auto"/>
          </w:tcPr>
          <w:p>
            <w:r>
              <w:rPr>
                <w:rtl w:val="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Role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Active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Alice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Admin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Bob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Editor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No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Charlie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Contributor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Yes</w:t>
            </w:r>
          </w:p>
        </w:tc>
      </w:tr>
    </w:tbl>
    <w:p>
      <w:r>
        <w:rPr>
          <w:rtl w:val="0"/>
        </w:rPr>
        <w:br/>
        <w:t xml:space="preserve">Таблица 2. Таблица с длинным текстом</w:t>
      </w:r>
    </w:p>
    <w:tbl>
      <w:tblPr>
        <w:tblStyle w:val="Table2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>
        <w:tc>
          <w:tcPr>
            <w:tcW w:w="0" w:type="auto"/>
          </w:tcPr>
          <w:p>
            <w:r>
              <w:rPr>
                <w:rtl w:val="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Краткое описание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Это строка с длинным содержимым для проверки переноса текста внутри ячейки таблицы и корректного сохранения структуры при преобразовании.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Формат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DOCX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Цель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Markdown</w:t>
            </w:r>
          </w:p>
        </w:tc>
      </w:tr>
    </w:tbl>
    <w:p>
      <w:r>
        <w:rPr>
          <w:rtl w:val="0"/>
        </w:rPr>
        <w:br/>
        <w:t xml:space="preserve">Таблица 3. Таблица для объединения ячеек</w:t>
        <w:br/>
        <w:t xml:space="preserve">[В Word объединить верхние две ячейки в одну шапку]</w:t>
      </w:r>
    </w:p>
    <w:tbl>
      <w:tblPr>
        <w:tblStyle w:val="Table3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0" w:type="auto"/>
            <w:gridSpan w:val="4"/>
          </w:tcPr>
          <w:p>
            <w:r>
              <w:rPr>
                <w:rtl w:val="0"/>
              </w:rPr>
              <w:t xml:space="preserve">Quarter | Sales | Costs | Profit (Merged Header)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Q1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60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Q2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Q3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140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r>
              <w:rPr>
                <w:rtl w:val="0"/>
              </w:rPr>
              <w:t xml:space="preserve">Q4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160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tl w:val="0"/>
              </w:rPr>
              <w:t xml:space="preserve">50</w:t>
            </w:r>
          </w:p>
        </w:tc>
      </w:tr>
    </w:tbl>
    <w:p>
      <w:pPr>
        <w:pStyle w:val="Heading1"/>
      </w:pPr>
      <w:bookmarkStart w:id="10" w:name="_Toc000000011"/>
      <w:r>
        <w:rPr>
          <w:rtl w:val="0"/>
        </w:rPr>
        <w:t xml:space="preserve">8. Изображения и подписи</w:t>
      </w:r>
      <w:bookmarkEnd w:id="10"/>
    </w:p>
    <w:p>
      <w:r>
        <w:rPr>
          <w:rtl w:val="0"/>
        </w:rPr>
        <w:t xml:space="preserve">Рисунок 1. Placeholder image with caption.</w:t>
      </w:r>
    </w:p>
    <w:p>
      <w:r>
        <w:drawing>
          <wp:inline distT="0" distB="0" distL="0" distR="0">
            <wp:extent cx="1828800" cy="914400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tl w:val="0"/>
        </w:rPr>
        <w:t xml:space="preserve">Alt text: “Test image showing mountains and lake”. (Simulated Caption)</w:t>
      </w:r>
    </w:p>
    <w:p>
      <w:r>
        <w:rPr>
          <w:rtl w:val="0"/>
        </w:rPr>
        <w:t xml:space="preserve">Рисунок 2. Inline image inside paragraph.</w:t>
        <w:br/>
        <w:t xml:space="preserve">Этот абзац содержит встроенное изображение </w:t>
      </w:r>
      <w:r>
        <w:drawing>
          <wp:inline distT="0" distB="0" distL="0" distR="0">
            <wp:extent cx="457200" cy="228600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посередине строки для проверки inline-placement.</w:t>
      </w:r>
    </w:p>
    <w:p>
      <w:pPr>
        <w:pStyle w:val="Heading1"/>
      </w:pPr>
      <w:bookmarkStart w:id="11" w:name="_Toc000000012"/>
      <w:r>
        <w:rPr>
          <w:rtl w:val="0"/>
        </w:rPr>
        <w:t xml:space="preserve">9. Код и preformatted blocks</w:t>
      </w:r>
      <w:bookmarkEnd w:id="11"/>
    </w:p>
    <w:p>
      <w:r>
        <w:rPr>
          <w:rtl w:val="0"/>
        </w:rPr>
        <w:t xml:space="preserve">Inline code: </w:t>
      </w:r>
      <w:r>
        <w:rPr>
          <w:rFonts w:ascii="Courier New" w:hAnsi="Courier New" w:eastAsia="Courier New" w:cs="Courier New"/>
          <w:rtl w:val="0"/>
        </w:rPr>
        <w:t xml:space="preserve">const answer = 42;</w:t>
      </w:r>
    </w:p>
    <w:p>
      <w:r>
        <w:rPr>
          <w:rtl w:val="0"/>
        </w:rPr>
        <w:t xml:space="preserve">Code block:</w:t>
      </w:r>
    </w:p>
    <w:p>
      <w:r>
        <w:rPr>
          <w:rFonts w:ascii="Courier New" w:hAnsi="Courier New" w:eastAsia="Courier New" w:cs="Courier New"/>
          <w:rtl w:val="0"/>
        </w:rPr>
        <w:t xml:space="preserve">function greet(name) {</w:t>
        <w:br/>
        <w:t xml:space="preserve">    console.log("Hello, " + name);</w:t>
        <w:br/>
        <w:t xml:space="preserve">}</w:t>
        <w:br/>
        <w:br/>
        <w:t xml:space="preserve">greet("Markdown");</w:t>
      </w:r>
    </w:p>
    <w:p>
      <w:r>
        <w:rPr>
          <w:rtl w:val="0"/>
        </w:rPr>
        <w:t xml:space="preserve">SQL block:</w:t>
      </w:r>
    </w:p>
    <w:p>
      <w:r>
        <w:rPr>
          <w:rFonts w:ascii="Courier New" w:hAnsi="Courier New" w:eastAsia="Courier New" w:cs="Courier New"/>
          <w:rtl w:val="0"/>
        </w:rPr>
        <w:t xml:space="preserve">SELECT id, name, created_at</w:t>
        <w:br/>
        <w:t xml:space="preserve">FROM users</w:t>
        <w:br/>
        <w:t xml:space="preserve">WHERE active = 1</w:t>
        <w:br/>
        <w:t xml:space="preserve">ORDER BY created_at DESC;</w:t>
      </w:r>
    </w:p>
    <w:p>
      <w:r>
        <w:rPr>
          <w:rtl w:val="0"/>
        </w:rPr>
        <w:t xml:space="preserve">JSON block:</w:t>
      </w:r>
    </w:p>
    <w:p>
      <w:r>
        <w:rPr>
          <w:rFonts w:ascii="Courier New" w:hAnsi="Courier New" w:eastAsia="Courier New" w:cs="Courier New"/>
          <w:rtl w:val="0"/>
        </w:rPr>
        <w:t xml:space="preserve">{</w:t>
        <w:br/>
        <w:t xml:space="preserve">  "name": "golden-doc",</w:t>
        <w:br/>
        <w:t xml:space="preserve">  "version": 1,</w:t>
        <w:br/>
        <w:t xml:space="preserve">  "features": ["tables", "images", "footnotes", "equations"]</w:t>
        <w:br/>
        <w:t xml:space="preserve">}</w:t>
      </w:r>
    </w:p>
    <w:p>
      <w:pPr>
        <w:pStyle w:val="Heading1"/>
      </w:pPr>
      <w:bookmarkStart w:id="12" w:name="_Toc000000013"/>
      <w:r>
        <w:rPr>
          <w:rtl w:val="0"/>
        </w:rPr>
        <w:t xml:space="preserve">10. Формулы</w:t>
      </w:r>
      <w:bookmarkEnd w:id="12"/>
    </w:p>
    <w:p>
      <w:r>
        <w:rPr>
          <w:rtl w:val="0"/>
        </w:rPr>
        <w:t xml:space="preserve">Встроенная формула: </w:t>
      </w:r>
      <m:oMath>
        <m:r>
          <w:rPr>
            <w:rFonts w:ascii="Cambria Math" w:hAnsi="Cambria Math"/>
          </w:rPr>
          <m:t xml:space="preserve"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</w:p>
    <w:p>
      <w:r>
        <w:rPr>
          <w:rtl w:val="0"/>
        </w:rPr>
        <w:t xml:space="preserve">Формула в отдельной строке:</w:t>
      </w:r>
    </w:p>
    <w:p>
      <w:pPr>
        <w:rPr>
          <w:rtl w:val="0"/>
        </w:rPr>
      </w:pPr>
      <m:oMath>
        <m:r>
          <w:rPr>
            <w:rFonts w:ascii="Cambria Math" w:hAnsi="Cambria Math"/>
          </w:rPr>
          <m:t xml:space="preserve"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sep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-b±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b2-4ac</m:t>
                    </m:r>
                  </m:e>
                </m:rad>
              </m:e>
            </m:d>
          </m:num>
          <m:den>
            <m:r>
              <w:rPr>
                <w:rFonts w:ascii="Cambria Math" w:hAnsi="Cambria Math"/>
              </w:rPr>
              <m:t xml:space="preserve">2a</m:t>
            </m:r>
          </m:den>
        </m:f>
      </m:oMath>
    </w:p>
    <w:p>
      <w:r>
        <w:rPr>
          <w:rtl w:val="0"/>
        </w:rPr>
        <w:t xml:space="preserve">Матрица:</w:t>
      </w:r>
    </w:p>
    <w:p>
      <w:pPr>
        <w:rPr>
          <w:rtl w:val="0"/>
        </w:rPr>
      </w:pP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mr>
            </m:m>
          </m:e>
        </m:d>
      </m:oMath>
    </w:p>
    <w:p>
      <w:r>
        <w:rPr>
          <w:rtl w:val="0"/>
        </w:rPr>
        <w:t xml:space="preserve">Дробь:</w:t>
      </w:r>
    </w:p>
    <w:p>
      <w:pPr>
        <w:rPr>
          <w:rtl w:val="0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a+b</m:t>
            </m:r>
          </m:num>
          <m:den>
            <m:r>
              <w:rPr>
                <w:rFonts w:ascii="Cambria Math" w:hAnsi="Cambria Math"/>
              </w:rPr>
              <m:t xml:space="preserve">c+d</m:t>
            </m:r>
          </m:den>
        </m:f>
      </m:oMath>
    </w:p>
    <w:p>
      <w:r>
        <w:rPr>
          <w:rtl w:val="0"/>
        </w:rPr>
        <w:t xml:space="preserve">Интеграл:</w:t>
      </w:r>
    </w:p>
    <w:p>
      <w:pPr>
        <w:rPr>
          <w:rtl w:val="0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 xml:space="preserve">∞</m:t>
            </m:r>
          </m:sub>
          <m:sup>
            <m:r>
              <w:rPr>
                <w:rFonts w:ascii="Cambria Math" w:hAnsi="Cambria Math"/>
              </w:rPr>
              <m:t xml:space="preserve">0</m:t>
            </m:r>
          </m:sup>
          <m:e>
            <m:r>
              <w:rPr>
                <w:rFonts w:ascii="Cambria Math" w:hAnsi="Cambria Math"/>
              </w:rPr>
              <m:t xml:space="preserve">e-xdx=1</m:t>
            </m:r>
          </m:e>
        </m:nary>
      </m:oMath>
    </w:p>
    <w:p>
      <w:pPr>
        <w:pStyle w:val="Heading1"/>
      </w:pPr>
      <w:bookmarkStart w:id="13" w:name="_Toc000000014"/>
      <w:r>
        <w:rPr>
          <w:rtl w:val="0"/>
        </w:rPr>
        <w:t xml:space="preserve">11. Сноски и концевые сноски</w:t>
      </w:r>
      <w:bookmarkEnd w:id="13"/>
    </w:p>
    <w:p>
      <w:r>
        <w:rPr>
          <w:rtl w:val="0"/>
        </w:rPr>
        <w:t xml:space="preserve">Текст со сноской номер 1</w:t>
      </w:r>
      <w:r>
        <w:rPr>
          <w:rStyle w:val="FootnoteReference"/>
        </w:rPr>
        <w:footnoteReference w:id="1"/>
      </w:r>
      <w:r>
        <w:rPr>
          <w:rtl w:val="0"/>
        </w:rPr>
        <w:t xml:space="preserve">.</w:t>
      </w:r>
    </w:p>
    <w:p>
      <w:r>
        <w:rPr>
          <w:rtl w:val="0"/>
        </w:rPr>
        <w:t xml:space="preserve">Текст со второй сноской</w:t>
      </w:r>
      <w:r>
        <w:rPr>
          <w:rStyle w:val="FootnoteReference"/>
        </w:rPr>
        <w:footnoteReference w:id="2"/>
      </w:r>
      <w:r>
        <w:rPr>
          <w:rtl w:val="0"/>
        </w:rPr>
        <w:t xml:space="preserve">.</w:t>
      </w:r>
    </w:p>
    <w:p>
      <w:r>
        <w:rPr>
          <w:rtl w:val="0"/>
        </w:rPr>
        <w:t xml:space="preserve">Текст с концевой сноской.</w:t>
      </w:r>
      <w:r>
        <w:rPr>
          <w:rStyle w:val="EndnoteReference"/>
        </w:rPr>
        <w:endnoteReference w:id="1"/>
      </w:r>
    </w:p>
    <w:p>
      <w:pPr>
        <w:pStyle w:val="Heading1"/>
      </w:pPr>
      <w:bookmarkStart w:id="14" w:name="_Toc000000015"/>
      <w:r>
        <w:rPr>
          <w:rtl w:val="0"/>
        </w:rPr>
        <w:t xml:space="preserve">12. Символы и Unicode</w:t>
      </w:r>
      <w:bookmarkEnd w:id="14"/>
    </w:p>
    <w:p>
      <w:r>
        <w:rPr>
          <w:rtl w:val="0"/>
        </w:rPr>
        <w:t xml:space="preserve">Латиница: The quick brown fox jumps over the lazy dog.</w:t>
      </w:r>
    </w:p>
    <w:p>
      <w:r>
        <w:rPr>
          <w:rtl w:val="0"/>
        </w:rPr>
        <w:t xml:space="preserve">Кириллица: Съешь ещё этих мягких французских булок, да выпей чаю.</w:t>
      </w:r>
    </w:p>
    <w:p>
      <w:r>
        <w:rPr>
          <w:rtl w:val="0"/>
        </w:rPr>
        <w:t xml:space="preserve">Греческий: α β γ δ ε λ π Ω</w:t>
      </w:r>
    </w:p>
    <w:p>
      <w:r>
        <w:rPr>
          <w:rtl w:val="0"/>
        </w:rPr>
        <w:t xml:space="preserve">Математические символы: ≤ ≥ ≠ ≈ ∑ ∏ ∞ √</w:t>
      </w:r>
    </w:p>
    <w:p>
      <w:r>
        <w:rPr>
          <w:rtl w:val="0"/>
        </w:rPr>
        <w:t xml:space="preserve">Валюты: USD, EUR, GBP, JPY, INR, RUB</w:t>
      </w:r>
    </w:p>
    <w:p>
      <w:r>
        <w:rPr>
          <w:rtl w:val="0"/>
        </w:rPr>
        <w:t xml:space="preserve">Стрелки: ← ↑ → ↓ ↔ ⇒ ⇔</w:t>
      </w:r>
    </w:p>
    <w:p>
      <w:r>
        <w:rPr>
          <w:rtl w:val="0"/>
        </w:rPr>
        <w:t xml:space="preserve">Emoji: 🙂 🚀 ✅</w:t>
      </w:r>
    </w:p>
    <w:p>
      <w:r>
        <w:rPr>
          <w:rtl w:val="0"/>
        </w:rPr>
        <w:t xml:space="preserve">RTL sample: </w:t>
      </w:r>
      <w:r>
        <w:rPr>
          <w:rtl/>
        </w:rPr>
        <w:t xml:space="preserve">العربية / עברית</w:t>
      </w:r>
    </w:p>
    <w:p>
      <w:pPr>
        <w:pStyle w:val="Heading1"/>
      </w:pPr>
      <w:bookmarkStart w:id="15" w:name="_Toc000000016"/>
      <w:r>
        <w:rPr>
          <w:rtl w:val="0"/>
        </w:rPr>
        <w:t xml:space="preserve">13. Разрывы и секции</w:t>
      </w:r>
      <w:bookmarkEnd w:id="15"/>
    </w:p>
    <w:p>
      <w:r>
        <w:rPr>
          <w:rtl w:val="0"/>
        </w:rPr>
        <w:t xml:space="preserve">[Вставить разрыв страницы после этого абзаца]</w:t>
        <w:br w:type="page"/>
      </w:r>
    </w:p>
    <w:p>
      <w:r>
        <w:rPr>
          <w:rtl w:val="0"/>
        </w:rPr>
        <w:t xml:space="preserve">Начало новой страницы.</w:t>
      </w:r>
    </w:p>
    <w:p>
      <w:pPr>
        <w:sectPr>
          <w:type w:val="nextPage"/>
          <w:pgSz w:w="12240" w:h="15840"/>
          <w:pgMar w:top="1440" w:right="1800" w:bottom="1440" w:left="1800" w:header="720" w:footer="720" w:gutter="0"/>
          <w:pgNumType w:fmt="decimal" w:start="1"/>
          <w:cols w:space="720" w:num="1"/>
        </w:sectPr>
      </w:pPr>
      <w:r>
        <w:rPr>
          <w:rtl w:val="0"/>
        </w:rPr>
        <w:t xml:space="preserve">[Вставить разрыв раздела после этого абзаца]</w:t>
      </w:r>
    </w:p>
    <w:p>
      <w:pPr>
        <w:rPr>
          <w:rtl w:val="0"/>
        </w:rPr>
        <w:sectPr>
          <w:type w:val="nextPage"/>
          <w:pgSz w:w="12240" w:h="15840"/>
          <w:pgMar w:top="1440" w:right="1800" w:bottom="1440" w:left="1800" w:header="720" w:footer="720" w:gutter="0"/>
          <w:pgNumType w:fmt="decimal" w:start="1"/>
          <w:cols w:space="720" w:num="1"/>
        </w:sectPr>
      </w:pPr>
      <w:r>
        <w:rPr>
          <w:rtl w:val="0"/>
        </w:rPr>
        <w:t xml:space="preserve">Новый раздел с другой ориентацией страницы.</w:t>
      </w:r>
    </w:p>
    <w:p>
      <w:pPr>
        <w:pStyle w:val="Heading1"/>
      </w:pPr>
      <w:bookmarkStart w:id="16" w:name="_Toc000000017"/>
      <w:r>
        <w:rPr>
          <w:rtl w:val="0"/>
        </w:rPr>
        <w:t xml:space="preserve">14. Колонки</w:t>
      </w:r>
      <w:bookmarkEnd w:id="16"/>
    </w:p>
    <w:p>
      <w:pPr>
        <w:sectPr>
          <w:type w:val="nextPage"/>
          <w:pgSz w:w="12240" w:h="15840"/>
          <w:pgMar w:top="1440" w:right="1800" w:bottom="1440" w:left="1800" w:header="720" w:footer="720" w:gutter="0"/>
          <w:cols w:space="720" w:num="2" w:sep="1"/>
        </w:sectPr>
      </w:pPr>
      <w:r>
        <w:rPr>
          <w:rtl w:val="0"/>
        </w:rPr>
        <w:t xml:space="preserve">Колонка 1: текст для проверки многоколоночной вёрстки.</w:t>
        <w:br w:type="column"/>
        <w:br/>
        <w:t xml:space="preserve">Колонка 2: дополнительный текст для проверки переноса и порядка чтения.</w:t>
      </w:r>
    </w:p>
    <w:p>
      <w:pPr>
        <w:rPr>
          <w:rtl w:val="0"/>
        </w:rPr>
      </w:pPr>
    </w:p>
    <w:p>
      <w:pPr>
        <w:pStyle w:val="Heading1"/>
      </w:pPr>
      <w:bookmarkStart w:id="17" w:name="_Toc000000018"/>
      <w:r>
        <w:rPr>
          <w:rtl w:val="0"/>
        </w:rPr>
        <w:t xml:space="preserve">15. Колонтитулы и нумерация</w:t>
      </w:r>
      <w:bookmarkEnd w:id="17"/>
    </w:p>
    <w:p>
      <w:r>
        <w:rPr>
          <w:rtl w:val="0"/>
        </w:rPr>
        <w:t xml:space="preserve">[Для второго раздела — другой колонтитул]</w:t>
      </w:r>
    </w:p>
    <w:p>
      <w:pPr>
        <w:pStyle w:val="Heading1"/>
      </w:pPr>
      <w:bookmarkStart w:id="18" w:name="_Toc000000019"/>
      <w:r>
        <w:rPr>
          <w:rtl w:val="0"/>
        </w:rPr>
        <w:t xml:space="preserve">16. Комментарии и исправления</w:t>
      </w:r>
      <w:bookmarkEnd w:id="18"/>
    </w:p>
    <w:p>
      <w:commentRangeStart w:id="0"/>
      <w:r>
        <w:rPr>
          <w:rtl w:val="0"/>
        </w:rPr>
        <w:t xml:space="preserve">Этот текст должен содержать комментарий Word.</w:t>
      </w:r>
      <w:commentRangeEnd w:id="0"/>
      <w:r>
        <w:rPr>
          <w:rStyle w:val="CommentReference"/>
        </w:rPr>
        <w:commentReference w:id="0"/>
      </w:r>
    </w:p>
    <w:p>
      <w:pPr>
        <w:pStyle w:val="NoSpacing"/>
      </w:pPr>
      <w:r>
        <w:t xml:space="preserve">X ______________________________</w:t>
      </w:r>
    </w:p>
    <w:p>
      <w:pPr>
        <w:pStyle w:val="NoSpacing"/>
      </w:pPr>
      <w:r>
        <w:t xml:space="preserve">10/21/2026</w:t>
      </w:r>
    </w:p>
    <w:p>
      <w:pPr>
        <w:pStyle w:val="NoSpacing"/>
      </w:pPr>
    </w:p>
    <w:p>
      <w:pPr>
        <w:pStyle w:val="Heading1"/>
      </w:pPr>
      <w:bookmarkStart w:id="19" w:name="_Toc000000020"/>
      <w:r>
        <w:rPr>
          <w:rtl w:val="0"/>
        </w:rPr>
        <w:t xml:space="preserve">17. Закладки и поля</w:t>
      </w:r>
      <w:bookmarkEnd w:id="19"/>
    </w:p>
    <w:p>
      <w:pPr>
        <w:rPr>
          <w:rtl w:val="0"/>
        </w:rPr>
      </w:pPr>
      <w:r>
        <w:rPr>
          <w:rtl w:val="0"/>
        </w:rPr>
        <w:fldChar w:fldCharType="begin"/>
      </w:r>
      <w:r>
        <w:rPr>
          <w:rtl w:val="0"/>
        </w:rPr>
        <w:instrText xml:space="preserve"> REF bookmark_intro \h </w:instrText>
      </w:r>
      <w:r>
        <w:rPr>
          <w:rtl w:val="0"/>
        </w:rPr>
        <w:fldChar w:fldCharType="separate"/>
      </w:r>
      <w:r>
        <w:rPr>
          <w:rtl w:val="0"/>
        </w:rPr>
        <w:t xml:space="preserve">bookmark_intro</w:t>
      </w:r>
      <w:r>
        <w:rPr>
          <w:rtl w:val="0"/>
        </w:rPr>
        <w:fldChar w:fldCharType="end"/>
      </w:r>
    </w:p>
    <w:p>
      <w:pPr>
        <w:pStyle w:val="Heading1"/>
      </w:pPr>
      <w:bookmarkStart w:id="20" w:name="_Toc000000021"/>
      <w:r>
        <w:rPr>
          <w:rtl w:val="0"/>
        </w:rPr>
        <w:t xml:space="preserve">18. Текстовые блоки и объекты</w:t>
      </w:r>
      <w:bookmarkEnd w:id="20"/>
    </w:p>
    <w:p>
      <w:pPr>
        <w:rPr>
          <w:rtl w:val="0"/>
        </w:rPr>
      </w:pPr>
      <w:r>
        <w:rPr>
          <w:rtl w:val="0"/>
        </w:rPr>
        <w:drawing>
          <wp:inline distT="0" distB="0" distL="0" distR="0">
            <wp:extent cx="1828800" cy="266700"/>
            <wp:effectExtent l="0" t="0" r="0" b="0"/>
            <wp:docPr id="3" name="Shape 3" descr="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266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tl w:val="0"/>
                          </w:rPr>
                          <w:t xml:space="preserve">This is a text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rPr>
          <w:rtl w:val="0"/>
          <w14:textFill>
            <w14:solidFill>
              <w14:srgbClr w14:val="4F81BD"/>
            </w14:solidFill>
          </w14:textFill>
        </w:rPr>
      </w:pPr>
      <w:r>
        <w:rPr>
          <w:rtl w:val="0"/>
          <w14:textFill>
            <w14:solidFill>
              <w14:srgbClr w14:val="4F81BD"/>
            </w14:solidFill>
          </w14:textFill>
        </w:rPr>
        <w:drawing>
          <wp:inline distT="0" distB="0" distL="0" distR="0">
            <wp:extent cx="1371600" cy="914400"/>
            <wp:effectExtent l="0" t="0" r="0" b="0"/>
            <wp:docPr id="4" name="Shape 4" descr="Прямоуголник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solidFill>
                      <a:srgbClr val="156082"/>
                    </a:solidFill>
                    <a:ln w="12700">
                      <a:solidFill>
                        <a:srgbClr val="0E405A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rPr>
          <w:rtl w:val="0"/>
        </w:rPr>
      </w:pPr>
      <w:r>
        <w:rPr>
          <w:rtl w:val="0"/>
        </w:rPr>
        <w:drawing>
          <wp:inline distT="0" distB="0" distL="0" distR="0">
            <wp:extent cx="5486400" cy="3200400"/>
            <wp:effectExtent l="0" t="0" r="0" b="0"/>
            <wp:docPr id="5" name="Diagram 5" descr=""/>
            <wp:cNvGraphicFramePr/>
            <a:graphic>
              <a:graphicData uri="http://schemas.openxmlformats.org/drawingml/2006/diagram">
                <dgm:relIds r:dm="rId3" r:lo="rId4" r:qs="rId5" r:cs="rId6"/>
              </a:graphicData>
            </a:graphic>
          </wp:inline>
        </w:drawing>
      </w:r>
    </w:p>
    <w:p>
      <w:pPr>
        <w:rPr>
          <w:rtl w:val="0"/>
        </w:rPr>
      </w:pPr>
      <w:r>
        <w:rPr>
          <w:rtl w:val="0"/>
        </w:rPr>
        <w:drawing>
          <wp:inline distT="0" distB="0" distL="0" distR="0">
            <wp:extent cx="5400000" cy="2700000"/>
            <wp:effectExtent l="0" t="0" r="0" b="0"/>
            <wp:docPr id="6" name="Chart 6" descr=""/>
            <wp:cNvGraphicFramePr/>
            <a:graphic>
              <a:graphicData uri="http://schemas.openxmlformats.org/drawingml/2006/chart">
                <c:chart r:id="rId7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</w:tr>
      <w:tr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</w:tr>
      <w:tr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  <w:tc>
          <w:tcPr>
            <w:tcW w:w="864" w:type="dxa"/>
          </w:tcPr>
          <w:p/>
        </w:tc>
      </w:tr>
    </w:tbl>
    <w:p>
      <w:pPr>
        <w:rPr>
          <w:rtl w:val="0"/>
        </w:rPr>
      </w:pPr>
    </w:p>
    <w:p>
      <w:pPr>
        <w:pStyle w:val="Heading1"/>
      </w:pPr>
      <w:bookmarkStart w:id="21" w:name="_Toc000000022"/>
      <w:r>
        <w:rPr>
          <w:rtl w:val="0"/>
        </w:rPr>
        <w:t xml:space="preserve">19. Формы и элементы управления</w:t>
      </w:r>
      <w:bookmarkEnd w:id="21"/>
    </w:p>
    <w:p>
      <w:r>
        <w:rPr>
          <w:rtl w:val="0"/>
        </w:rPr>
        <w:t xml:space="preserve">[Добавить checkbox content control]</w:t>
      </w:r>
    </w:p>
    <w:p>
      <w:r>
        <w:rPr>
          <w:rtl w:val="0"/>
        </w:rPr>
        <w:t xml:space="preserve">[Добавить rich text content control]</w:t>
      </w:r>
    </w:p>
    <w:p>
      <w:r>
        <w:rPr>
          <w:rtl w:val="0"/>
        </w:rPr>
        <w:t xml:space="preserve">[Добавить combo box]</w:t>
      </w:r>
    </w:p>
    <w:p>
      <w:r>
        <w:rPr>
          <w:rtl w:val="0"/>
        </w:rPr>
        <w:t xml:space="preserve">[Добавить date picker]</w:t>
      </w:r>
    </w:p>
    <w:p>
      <w:pPr>
        <w:pStyle w:val="Heading1"/>
      </w:pPr>
      <w:bookmarkStart w:id="22" w:name="_Toc000000023"/>
      <w:r>
        <w:rPr>
          <w:rtl w:val="0"/>
        </w:rPr>
        <w:t xml:space="preserve">20. Язык, переносы и проверка орфографии</w:t>
      </w:r>
      <w:bookmarkEnd w:id="22"/>
    </w:p>
    <w:p>
      <w:r>
        <w:rPr>
          <w:rtl w:val="0"/>
        </w:rPr>
        <w:t xml:space="preserve">Этот абзац должен быть помечен как русский язык.</w:t>
      </w:r>
    </w:p>
    <w:p>
      <w:r>
        <w:rPr>
          <w:rtl w:val="0"/>
        </w:rPr>
        <w:t xml:space="preserve">This paragraph should be marked as English (US).</w:t>
      </w:r>
    </w:p>
    <w:p>
      <w:r>
        <w:rPr>
          <w:rtl w:val="0"/>
        </w:rPr>
        <w:t xml:space="preserve">Dieser Absatz sollte als Deutsch markiert werden.</w:t>
      </w:r>
    </w:p>
    <w:p>
      <w:r>
        <w:rPr>
          <w:rtl w:val="0"/>
        </w:rPr>
        <w:t xml:space="preserve">[Включить автоматические переносы]</w:t>
      </w:r>
    </w:p>
    <w:p>
      <w:r>
        <w:rPr>
          <w:rtl w:val="0"/>
        </w:rPr>
        <w:t xml:space="preserve">[Добавить намеренную орфографическую ошибку: конвертар]</w:t>
      </w:r>
    </w:p>
    <w:p>
      <w:pPr>
        <w:pStyle w:val="Heading1"/>
      </w:pPr>
      <w:bookmarkStart w:id="23" w:name="_Toc000000024"/>
      <w:r>
        <w:rPr>
          <w:rtl w:val="0"/>
        </w:rPr>
        <w:t xml:space="preserve">21. Длинные абзацы и переносы строк</w:t>
      </w:r>
      <w:bookmarkEnd w:id="23"/>
    </w:p>
    <w:p>
      <w:r>
        <w:rPr>
          <w:rtl w:val="0"/>
        </w:rPr>
        <w:t xml:space="preserve">Это очень длинный абзац для проверки того, как конвертер обрабатывает большие блоки текста, в которых встречаются ссылки, выделения, специальные символы, сноски, цитаты и встроенные объекты. Его задача — создать реалистичную нагрузку и выявить проблемы с сегментацией, объединением строк, ошибочным удалением пробелов, потерей форматирования и неправильным определением структуры документа.</w:t>
      </w:r>
    </w:p>
    <w:p>
      <w:r>
        <w:rPr>
          <w:rtl w:val="0"/>
        </w:rPr>
        <w:t xml:space="preserve">Строка с ручным разрывом строки.</w:t>
        <w:br/>
        <w:t xml:space="preserve">Следующая строка после soft line break.</w:t>
      </w:r>
    </w:p>
    <w:p>
      <w:r>
        <w:rPr>
          <w:rtl w:val="0"/>
        </w:rPr>
        <w:t xml:space="preserve">Следующий абзац после paragraph break.</w:t>
      </w:r>
    </w:p>
    <w:p>
      <w:pPr>
        <w:pStyle w:val="Heading1"/>
      </w:pPr>
      <w:bookmarkStart w:id="24" w:name="_Toc000000025"/>
      <w:r>
        <w:rPr>
          <w:rtl w:val="0"/>
        </w:rPr>
        <w:t xml:space="preserve">22. Приложение A</w:t>
      </w:r>
      <w:bookmarkEnd w:id="24"/>
    </w:p>
    <w:p>
      <w:pPr>
        <w:pStyle w:val="Heading2"/>
      </w:pPr>
      <w:bookmarkStart w:id="25" w:name="_Toc000000026"/>
      <w:r>
        <w:rPr>
          <w:rtl w:val="0"/>
        </w:rPr>
        <w:t xml:space="preserve">A.1. Термины</w:t>
      </w:r>
      <w:bookmarkEnd w:id="25"/>
    </w:p>
    <w:p>
      <w:r>
        <w:rPr>
          <w:rtl w:val="0"/>
        </w:rPr>
        <w:t xml:space="preserve">Markdown — облегчённый язык разметки.</w:t>
      </w:r>
    </w:p>
    <w:p>
      <w:r>
        <w:rPr>
          <w:rtl w:val="0"/>
        </w:rPr>
        <w:t xml:space="preserve">DOCX — формат Office Open XML для документов Word.</w:t>
      </w:r>
    </w:p>
    <w:p>
      <w:r>
        <w:rPr>
          <w:rtl w:val="0"/>
        </w:rPr>
        <w:t xml:space="preserve">Golden document — эталонный документ для регрессионного тестирования.</w:t>
      </w:r>
    </w:p>
    <w:p>
      <w:pPr>
        <w:pStyle w:val="Heading2"/>
      </w:pPr>
      <w:bookmarkStart w:id="26" w:name="_Toc000000027"/>
      <w:r>
        <w:rPr>
          <w:rtl w:val="0"/>
        </w:rPr>
        <w:t xml:space="preserve">A.2. Ожидаемое поведение конвертера</w:t>
      </w:r>
      <w:bookmarkEnd w:id="26"/>
    </w:p>
    <w:p>
      <w:r>
        <w:rPr>
          <w:rtl w:val="0"/>
        </w:rPr>
        <w:t xml:space="preserve">Заголовки должны становиться #, ##, ### и так далее.</w:t>
      </w:r>
    </w:p>
    <w:p>
      <w:r>
        <w:rPr>
          <w:rtl w:val="0"/>
        </w:rPr>
        <w:t xml:space="preserve">Полужирный должен сохраняться как **text**.</w:t>
      </w:r>
    </w:p>
    <w:p>
      <w:r>
        <w:rPr>
          <w:rtl w:val="0"/>
        </w:rPr>
        <w:t xml:space="preserve">Курсив — как *text*.</w:t>
      </w:r>
    </w:p>
    <w:p>
      <w:r>
        <w:rPr>
          <w:rtl w:val="0"/>
        </w:rPr>
        <w:t xml:space="preserve">Списки должны сохранять вложенность.</w:t>
      </w:r>
    </w:p>
    <w:p>
      <w:r>
        <w:rPr>
          <w:rtl w:val="0"/>
        </w:rPr>
        <w:t xml:space="preserve">Таблицы должны по возможности преобразовываться в Markdown-таблицы.</w:t>
      </w:r>
    </w:p>
    <w:p>
      <w:r>
        <w:rPr>
          <w:rtl w:val="0"/>
        </w:rPr>
        <w:t xml:space="preserve">Сноски должны сохранять как footnotes, если формат поддерживается.</w:t>
      </w:r>
    </w:p>
    <w:p>
      <w:r>
        <w:rPr>
          <w:rtl w:val="0"/>
        </w:rPr>
        <w:t xml:space="preserve">Изображения должны превращаться в ссылки/ресурсы с подписью.</w:t>
      </w:r>
    </w:p>
    <w:p>
      <w:r>
        <w:rPr>
          <w:rtl w:val="0"/>
        </w:rPr>
        <w:t xml:space="preserve">Комментарии и Track Changes могут либо удаляться, либо экспортироваться в примечания — это зависит от целевой политики конвертера.</w:t>
      </w:r>
    </w:p>
    <w:p>
      <w:pPr>
        <w:pStyle w:val="Heading1"/>
      </w:pPr>
      <w:bookmarkStart w:id="27" w:name="_Toc000000028"/>
      <w:r>
        <w:rPr>
          <w:rtl w:val="0"/>
        </w:rPr>
        <w:t xml:space="preserve">23. Финальный контрольный абзац</w:t>
      </w:r>
      <w:bookmarkEnd w:id="27"/>
    </w:p>
    <w:p>
      <w:r>
        <w:rPr>
          <w:rtl w:val="0"/>
        </w:rPr>
        <w:t xml:space="preserve">Конец документа. Этот абзац нужен для проверки, что конвертер не теряет хвост документа, корректно закрывает все блоки и не оставляет незавершённые элементы.</w:t>
      </w:r>
    </w:p>
    <w:sectPr>
      <w:headerReference w:type="default" r:id="rId8"/>
      <w:footerReference w:type="default" r:id="rId9"/>
      <w:type w:val="nextPage"/>
      <w:pgSz w:w="12240" w:h="15840"/>
      <w:pgMar w:top="1440" w:right="1800" w:bottom="1440" w:left="180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comment w:id="0" w:author="PKALab" w:date="2026-10-21T05:30:04Z" w:initials="P">
    <w:p w14:paraId="10000001" w14:textId="77777777">
      <w:r>
        <w:t xml:space="preserve">Коментарий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10000001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10000001" w16cex:dateUtc="2026-10-21T05:30:0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1" w16cid:durableId="10000001"/>
</w16cid:commentsId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rPr>
          <w:rtl w:val="0"/>
        </w:rPr>
        <w:t xml:space="preserve">Концевая сноска 1: Это тестовая концевая сноска.</w:t>
      </w:r>
    </w:p>
  </w:endnote>
</w:endnote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tl w:val="0"/>
        </w:rPr>
        <w:t xml:space="preserve">Сноска 1: Это тестовая сноска.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tl w:val="0"/>
        </w:rPr>
        <w:t xml:space="preserve">Сноска 2: Вторая тестовая сноска с ссылкой на https://example.com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  <w:jc w:val="center"/>
    </w:pPr>
    <w:r>
      <w:rPr>
        <w:rtl w:val="0"/>
      </w:rPr>
      <w:t xml:space="preserve">Golden Word Test Document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multilevel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hanging="0"/>
      </w:pPr>
    </w:lvl>
    <w:lvl w:ilvl="2">
      <w:start w:val="1"/>
      <w:numFmt w:val="bullet"/>
      <w:lvlText w:val=""/>
      <w:lvlJc w:val="left"/>
      <w:pPr>
        <w:ind w:left="0" w:hanging="0"/>
      </w:pPr>
    </w:lvl>
    <w:lvl w:ilvl="3">
      <w:start w:val="1"/>
      <w:numFmt w:val="bullet"/>
      <w:lvlText w:val=""/>
      <w:lvlJc w:val="left"/>
      <w:pPr>
        <w:ind w:left="0" w:hanging="0"/>
      </w:pPr>
    </w:lvl>
    <w:lvl w:ilvl="4">
      <w:start w:val="1"/>
      <w:numFmt w:val="bullet"/>
      <w:lvlText w:val=""/>
      <w:lvlJc w:val="left"/>
      <w:pPr>
        <w:ind w:left="0" w:hanging="0"/>
      </w:pPr>
    </w:lvl>
    <w:lvl w:ilvl="5">
      <w:start w:val="1"/>
      <w:numFmt w:val="bullet"/>
      <w:lvlText w:val=""/>
      <w:lvlJc w:val="left"/>
      <w:pPr>
        <w:ind w:left="0" w:hanging="0"/>
      </w:pPr>
    </w:lvl>
    <w:lvl w:ilvl="6">
      <w:start w:val="1"/>
      <w:numFmt w:val="bullet"/>
      <w:lvlText w:val=""/>
      <w:lvlJc w:val="left"/>
      <w:pPr>
        <w:ind w:left="0" w:hanging="0"/>
      </w:pPr>
    </w:lvl>
    <w:lvl w:ilvl="7">
      <w:start w:val="1"/>
      <w:numFmt w:val="bullet"/>
      <w:lvlText w:val=""/>
      <w:lvlJc w:val="left"/>
      <w:pPr>
        <w:ind w:left="0" w:hanging="0"/>
      </w:pPr>
    </w:lvl>
    <w:lvl w:ilvl="8">
      <w:start w:val="1"/>
      <w:numFmt w:val="bullet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hanging="0"/>
      </w:pPr>
    </w:lvl>
    <w:lvl w:ilvl="2">
      <w:start w:val="1"/>
      <w:numFmt w:val="bullet"/>
      <w:lvlText w:val=""/>
      <w:lvlJc w:val="left"/>
      <w:pPr>
        <w:ind w:left="0" w:hanging="0"/>
      </w:pPr>
    </w:lvl>
    <w:lvl w:ilvl="3">
      <w:start w:val="1"/>
      <w:numFmt w:val="bullet"/>
      <w:lvlText w:val=""/>
      <w:lvlJc w:val="left"/>
      <w:pPr>
        <w:ind w:left="0" w:hanging="0"/>
      </w:pPr>
    </w:lvl>
    <w:lvl w:ilvl="4">
      <w:start w:val="1"/>
      <w:numFmt w:val="bullet"/>
      <w:lvlText w:val=""/>
      <w:lvlJc w:val="left"/>
      <w:pPr>
        <w:ind w:left="0" w:hanging="0"/>
      </w:pPr>
    </w:lvl>
    <w:lvl w:ilvl="5">
      <w:start w:val="1"/>
      <w:numFmt w:val="bullet"/>
      <w:lvlText w:val=""/>
      <w:lvlJc w:val="left"/>
      <w:pPr>
        <w:ind w:left="0" w:hanging="0"/>
      </w:pPr>
    </w:lvl>
    <w:lvl w:ilvl="6">
      <w:start w:val="1"/>
      <w:numFmt w:val="bullet"/>
      <w:lvlText w:val=""/>
      <w:lvlJc w:val="left"/>
      <w:pPr>
        <w:ind w:left="0" w:hanging="0"/>
      </w:pPr>
    </w:lvl>
    <w:lvl w:ilvl="7">
      <w:start w:val="1"/>
      <w:numFmt w:val="bullet"/>
      <w:lvlText w:val=""/>
      <w:lvlJc w:val="left"/>
      <w:pPr>
        <w:ind w:left="0" w:hanging="0"/>
      </w:pPr>
    </w:lvl>
    <w:lvl w:ilvl="8">
      <w:start w:val="1"/>
      <w:numFmt w:val="bullet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 w:eastAsia="Cambria" w:cs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C0C0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0" w:space="0" w:color="auto"/>
          <w:bottom w:val="single" w:sz="8" w:space="0" w:color="000000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0" w:space="0" w:color="auto"/>
          <w:bottom w:val="single" w:sz="8" w:space="0" w:color="000000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4E0EF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0" w:space="0" w:color="auto"/>
          <w:bottom w:val="single" w:sz="8" w:space="0" w:color="4F81BD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0" w:space="0" w:color="auto"/>
          <w:bottom w:val="single" w:sz="8" w:space="0" w:color="4F81BD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FD4D3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0" w:space="0" w:color="auto"/>
          <w:bottom w:val="single" w:sz="8" w:space="0" w:color="C0504D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0" w:space="0" w:color="auto"/>
          <w:bottom w:val="single" w:sz="8" w:space="0" w:color="C0504D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6EED6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0" w:space="0" w:color="auto"/>
          <w:bottom w:val="single" w:sz="8" w:space="0" w:color="9BBB59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0" w:space="0" w:color="auto"/>
          <w:bottom w:val="single" w:sz="8" w:space="0" w:color="9BBB59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0D9E8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0" w:space="0" w:color="auto"/>
          <w:bottom w:val="single" w:sz="8" w:space="0" w:color="8064A2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0" w:space="0" w:color="auto"/>
          <w:bottom w:val="single" w:sz="8" w:space="0" w:color="8064A2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3EAF1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0" w:space="0" w:color="auto"/>
          <w:bottom w:val="single" w:sz="8" w:space="0" w:color="4BACC6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0" w:space="0" w:color="auto"/>
          <w:bottom w:val="single" w:sz="8" w:space="0" w:color="4BACC6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DE5D1"/>
      </w:tcPr>
    </w:tblStylePr>
    <w:tblStylePr w:type="band1Horz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0" w:space="0" w:color="auto"/>
          <w:bottom w:val="single" w:sz="8" w:space="0" w:color="F79646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0" w:space="0" w:color="auto"/>
          <w:bottom w:val="single" w:sz="8" w:space="0" w:color="F79646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0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0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0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0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0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0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0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0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0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0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0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0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0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0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C0C0C0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0" w:space="0" w:color="auto"/>
          <w:insideV w:val="nil" w:sz="0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D4E0EF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0" w:space="0" w:color="auto"/>
          <w:insideV w:val="nil" w:sz="0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0" w:space="0" w:color="auto"/>
          <w:insideV w:val="nil" w:sz="0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EFD4D3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0" w:space="0" w:color="auto"/>
          <w:insideV w:val="nil" w:sz="0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0" w:space="0" w:color="auto"/>
          <w:insideV w:val="nil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E6EED6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0" w:space="0" w:color="auto"/>
          <w:insideV w:val="nil" w:sz="0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0" w:space="0" w:color="auto"/>
          <w:insideV w:val="nil" w:sz="0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E0D9E8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0" w:space="0" w:color="auto"/>
          <w:insideV w:val="nil" w:sz="0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0" w:space="0" w:color="auto"/>
          <w:insideV w:val="nil" w:sz="0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D3EAF1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0" w:space="0" w:color="auto"/>
          <w:insideV w:val="nil" w:sz="0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0" w:space="0" w:color="auto"/>
          <w:insideV w:val="nil" w:sz="0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0" w:space="0" w:color="auto"/>
          <w:insideV w:val="nil" w:sz="0" w:space="0" w:color="auto"/>
        </w:tcBorders>
        <w:shd w:val="clear" w:color="auto" w:fill="FDE5D1"/>
      </w:tcPr>
    </w:tblStylePr>
    <w:tblStylePr w:type="band2Horz">
      <w:tcPr>
        <w:tcBorders>
          <w:insideH w:val="nil" w:sz="0" w:space="0" w:color="auto"/>
          <w:insideV w:val="nil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0" w:space="0" w:color="auto"/>
          <w:insideV w:val="nil" w:sz="0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0" w:space="0" w:color="auto"/>
          <w:insideV w:val="nil" w:sz="0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0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0" w:space="0" w:color="auto"/>
          <w:bottom w:val="single" w:sz="18" w:space="0" w:color="auto"/>
          <w:right w:val="nil" w:sz="0" w:space="0" w:color="auto"/>
          <w:insideH w:val="nil" w:sz="0" w:space="0" w:color="auto"/>
          <w:insideV w:val="nil" w:sz="0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0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C0C0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C0C0C0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000000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000000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000000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4E0EF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D4E0EF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4F81BD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4F81BD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4F81BD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FD4D3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EFD4D3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C0504D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C0504D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C0504D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6EED6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E6EED6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9BBB59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9BBB59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9BBB59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0D9E8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E0D9E8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8064A2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8064A2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8064A2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3EAF1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D3EAF1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4BACC6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4BACC6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4BACC6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DE5D1"/>
      </w:tcPr>
    </w:tblStylePr>
    <w:tblStylePr w:type="band1Horz">
      <w:tcPr>
        <w:tcBorders>
          <w:top w:val="nil" w:sz="0" w:space="0" w:color="auto"/>
          <w:bottom w:val="nil" w:sz="0" w:space="0" w:color="auto"/>
          <w:insideH w:val="nil" w:sz="0" w:space="0" w:color="auto"/>
          <w:insideV w:val="nil" w:sz="0" w:space="0" w:color="auto"/>
        </w:tcBorders>
        <w:shd w:val="clear" w:color="auto" w:fill="FDE5D1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8" w:space="0" w:color="F79646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tcPr>
        <w:tcBorders>
          <w:top w:val="nil" w:sz="0" w:space="0" w:color="auto"/>
          <w:left w:val="single" w:sz="8" w:space="0" w:color="F79646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0" w:space="0" w:color="auto"/>
          <w:left w:val="nil" w:sz="0" w:space="0" w:color="auto"/>
          <w:bottom w:val="single" w:sz="24" w:space="0" w:color="F79646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0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nil" w:sz="0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0" w:space="0" w:color="auto"/>
          <w:insideV w:val="nil" w:sz="0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0" w:space="0" w:color="auto"/>
          <w:left w:val="single" w:sz="24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0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376092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376092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376092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53735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53735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953735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76933C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76933C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76933C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604A7B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604A7B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604A7B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31859B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31859B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31859B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46C0A"/>
      </w:tcPr>
    </w:tblStylePr>
    <w:tblStylePr w:type="band1Horz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46C0A"/>
      </w:tcPr>
    </w:tblStylePr>
    <w:tblStylePr w:type="firstCol">
      <w:tcPr>
        <w:tcBorders>
          <w:top w:val="nil" w:sz="0" w:space="0" w:color="auto"/>
          <w:left w:val="nil" w:sz="0" w:space="0" w:color="auto"/>
          <w:bottom w:val="nil" w:sz="0" w:space="0" w:color="auto"/>
          <w:right w:val="single" w:sz="18" w:space="0" w:color="FFFFFF"/>
          <w:insideH w:val="nil" w:sz="0" w:space="0" w:color="auto"/>
          <w:insideV w:val="nil" w:sz="0" w:space="0" w:color="auto"/>
        </w:tcBorders>
        <w:shd w:val="clear" w:color="auto" w:fill="E46C0A"/>
      </w:tcPr>
    </w:tblStylePr>
    <w:tblStylePr w:type="lastCol">
      <w:tcPr>
        <w:tcBorders>
          <w:top w:val="nil" w:sz="0" w:space="0" w:color="auto"/>
          <w:left w:val="single" w:sz="18" w:space="0" w:color="FFFFFF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18" w:space="0" w:color="FFFFFF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000000"/>
          <w:insideV w:val="nil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C0504D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2C4C74"/>
          <w:insideV w:val="nil" w:sz="0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C0504D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772C2A"/>
          <w:insideV w:val="nil" w:sz="0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C0504D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5E7530"/>
          <w:insideV w:val="nil" w:sz="0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8064A2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4C3B62"/>
          <w:insideV w:val="nil" w:sz="0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9BBB59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276A7C"/>
          <w:insideV w:val="nil" w:sz="0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F79646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4" w:space="0" w:color="B65608"/>
          <w:insideV w:val="nil" w:sz="0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0" w:space="0" w:color="auto"/>
          <w:left w:val="nil" w:sz="0" w:space="0" w:color="auto"/>
          <w:bottom w:val="single" w:sz="24" w:space="0" w:color="4BACC6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  <w:style w:type="paragraph" w:styleId="Subtitle">
    <w:name w:val="Subtitle"/>
    <w:basedOn w:val="Normal"/>
    <w:next w:val="Normal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Table1">
    <w:name w:val="Table1"/>
    <w:basedOn w:val="TableNormal"/>
    <w:pPr>
      <w:spacing w:after="0" w:line="240" w:lineRule="auto"/>
    </w:p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TableNormal"/>
    <w:pPr>
      <w:spacing w:after="0" w:line="240" w:lineRule="auto"/>
    </w:p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TableNormal"/>
    <w:pPr>
      <w:spacing w:after="0" w:line="240" w:lineRule="auto"/>
    </w:p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microsoft.com/office/2007/relationships/diagramDrawing" Target="diagrams/drawing1.xml"/><Relationship Id="rId3" Type="http://schemas.openxmlformats.org/officeDocument/2006/relationships/diagramData" Target="diagrams/data1.xml"/><Relationship Id="rId4" Type="http://schemas.openxmlformats.org/officeDocument/2006/relationships/diagramLayout" Target="diagrams/layout1.xml"/><Relationship Id="rId5" Type="http://schemas.openxmlformats.org/officeDocument/2006/relationships/diagramQuickStyle" Target="diagrams/quickStyle1.xml"/><Relationship Id="rId6" Type="http://schemas.openxmlformats.org/officeDocument/2006/relationships/diagramColors" Target="diagrams/colors1.xml"/><Relationship Id="rId7" Type="http://schemas.openxmlformats.org/officeDocument/2006/relationships/chart" Target="charts/chart1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notes" Target="footnotes.xml"/><Relationship Id="rId11" Type="http://schemas.openxmlformats.org/officeDocument/2006/relationships/endnotes" Target="endnotes.xml"/><Relationship Id="rId12" Type="http://schemas.openxmlformats.org/officeDocument/2006/relationships/comments" Target="comments.xml"/><Relationship Id="rId13" Type="http://schemas.microsoft.com/office/2011/relationships/commentsExtended" Target="commentsExtended.xml"/><Relationship Id="rId14" Type="http://schemas.microsoft.com/office/2016/09/relationships/commentsIds" Target="commentsIds.xml"/><Relationship Id="rId15" Type="http://schemas.microsoft.com/office/2018/08/relationships/commentsExtensible" Target="commentsExtensible.xml"/><Relationship Id="rId16" Type="http://schemas.openxmlformats.org/officeDocument/2006/relationships/styles" Target="styles.xml"/><Relationship Id="rId17" Type="http://schemas.openxmlformats.org/officeDocument/2006/relationships/numbering" Target="numbering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fontTable" Target="fontTable.xml"/><Relationship Id="rId21" Type="http://schemas.openxmlformats.org/officeDocument/2006/relationships/customXml" Target="../customXML/item1.xml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v>Series 1</c:v>
          </c:tx>
          <c:invertIfNegative val="0"/>
          <c:cat>
            <c:strLit>
              <c:ptCount val="4"/>
              <c:pt idx="0">
                <c:v>Q1</c:v>
              </c:pt>
              <c:pt idx="1">
                <c:v>Q2</c:v>
              </c:pt>
              <c:pt idx="2">
                <c:v>Q3</c:v>
              </c:pt>
              <c:pt idx="3">
                <c:v>Q4</c:v>
              </c:pt>
            </c:strLit>
          </c:cat>
          <c:val>
            <c:numLit>
              <c:formatCode>General</c:formatCode>
              <c:ptCount val="4"/>
              <c:pt idx="0">
                <c:v>3.2</c:v>
              </c:pt>
              <c:pt idx="1">
                <c:v>4.1</c:v>
              </c:pt>
              <c:pt idx="2">
                <c:v>3.6</c:v>
              </c:pt>
              <c:pt idx="3">
                <c:v>5</c:v>
              </c:pt>
            </c:numLit>
          </c:val>
        </c:ser>
        <c:ser>
          <c:idx val="1"/>
          <c:order val="1"/>
          <c:tx>
            <c:v>Series 2</c:v>
          </c:tx>
          <c:invertIfNegative val="0"/>
          <c:cat>
            <c:strLit>
              <c:ptCount val="4"/>
              <c:pt idx="0">
                <c:v>Q1</c:v>
              </c:pt>
              <c:pt idx="1">
                <c:v>Q2</c:v>
              </c:pt>
              <c:pt idx="2">
                <c:v>Q3</c:v>
              </c:pt>
              <c:pt idx="3">
                <c:v>Q4</c:v>
              </c:pt>
            </c:strLit>
          </c:cat>
          <c:val>
            <c:numLit>
              <c:formatCode>General</c:formatCode>
              <c:ptCount val="4"/>
              <c:pt idx="0">
                <c:v>2</c:v>
              </c:pt>
              <c:pt idx="1">
                <c:v>2.7</c:v>
              </c:pt>
              <c:pt idx="2">
                <c:v>3.9</c:v>
              </c:pt>
              <c:pt idx="3">
                <c:v>3.3</c:v>
              </c:pt>
            </c:numLit>
          </c:val>
        </c:ser>
        <c:ser>
          <c:idx val="2"/>
          <c:order val="2"/>
          <c:tx>
            <c:v>Series 3</c:v>
          </c:tx>
          <c:invertIfNegative val="0"/>
          <c:cat>
            <c:strLit>
              <c:ptCount val="4"/>
              <c:pt idx="0">
                <c:v>Q1</c:v>
              </c:pt>
              <c:pt idx="1">
                <c:v>Q2</c:v>
              </c:pt>
              <c:pt idx="2">
                <c:v>Q3</c:v>
              </c:pt>
              <c:pt idx="3">
                <c:v>Q4</c:v>
              </c:pt>
            </c:strLit>
          </c:cat>
          <c:val>
            <c:numLit>
              <c:formatCode>General</c:formatCode>
              <c:ptCount val="4"/>
              <c:pt idx="0">
                <c:v>1.5</c:v>
              </c:pt>
              <c:pt idx="1">
                <c:v>2.2</c:v>
              </c:pt>
              <c:pt idx="2">
                <c:v>2.4</c:v>
              </c:pt>
              <c:pt idx="3">
                <c:v>3.8</c:v>
              </c:pt>
            </c:numLit>
          </c:val>
        </c:ser>
        <c:gapWidth val="150"/>
        <c:axId val="500000001"/>
        <c:axId val="500000002"/>
      </c:barChart>
      <c:catAx>
        <c:axId val="500000001"/>
        <c:scaling>
          <c:orientation val="minMax"/>
        </c:scaling>
        <c:delete val="0"/>
        <c:axPos val="l"/>
        <c:majorTickMark val="none"/>
        <c:minorTickMark val="none"/>
        <c:tickLblPos val="nextTo"/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</c:scaling>
        <c:delete val="0"/>
        <c:axPos val="b"/>
        <c:majorGridlines/>
        <c:majorTickMark val="none"/>
        <c:minorTickMark val="none"/>
        <c:tickLblPos val="nextTo"/>
        <c:spPr>
          <a:ln>
            <a:noFill/>
          </a:ln>
        </c:spPr>
        <c:crossAx val="500000001"/>
        <c:crosses val="autoZero"/>
        <c:crossBetween val="between"/>
      </c:valAx>
    </c:plotArea>
    <c:legend>
      <c:legendPos val="b"/>
      <c:overlay val="0"/>
    </c:legend>
    <c:plotVisOnly val="1"/>
    <c:dispBlanksAs val="gap"/>
  </c:chart>
  <c:spPr>
    <a:solidFill>
      <a:schemeClr val="bg1"/>
    </a:solidFill>
    <a:ln>
      <a:noFill/>
    </a:ln>
  </c:spPr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Accent 1"/>
  <dgm:desc val=""/>
  <dgm:catLst>
    <dgm:cat type="accent1" pri="10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onnector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venn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43A57A-0000-4000-8000-000000000000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743A57A-0000-4000-8000-000000000001}">
      <dgm:prSet/>
      <dgm:spPr/>
      <dgm:t>
        <a:bodyPr/>
        <a:lstStyle/>
        <a:p>
          <a:r>
            <a:rPr lang="en-US"/>
            <a:t>Lead</a:t>
          </a:r>
        </a:p>
      </dgm:t>
    </dgm:pt>
    <dgm:pt modelId="{5743A57A-0000-4000-8000-000000000003}" type="parTrans" cxnId="{5743A57A-0000-4000-8000-000000000002}">
      <dgm:prSet/>
      <dgm:spPr/>
      <dgm:t>
        <a:bodyPr/>
        <a:lstStyle/>
        <a:p>
          <a:endParaRPr lang="en-US"/>
        </a:p>
      </dgm:t>
    </dgm:pt>
    <dgm:pt modelId="{5743A57A-0000-4000-8000-000000000004}" type="sibTrans" cxnId="{5743A57A-0000-4000-8000-000000000002}">
      <dgm:prSet/>
      <dgm:spPr/>
      <dgm:t>
        <a:bodyPr/>
        <a:lstStyle/>
        <a:p>
          <a:endParaRPr lang="en-US"/>
        </a:p>
      </dgm:t>
    </dgm:pt>
    <dgm:pt modelId="{5743A57A-0000-4000-8000-000000000005}">
      <dgm:prSet/>
      <dgm:spPr/>
      <dgm:t>
        <a:bodyPr/>
        <a:lstStyle/>
        <a:p>
          <a:r>
            <a:rPr lang="en-US"/>
            <a:t>Design</a:t>
          </a:r>
        </a:p>
      </dgm:t>
    </dgm:pt>
    <dgm:pt modelId="{5743A57A-0000-4000-8000-000000000007}" type="parTrans" cxnId="{5743A57A-0000-4000-8000-000000000006}">
      <dgm:prSet/>
      <dgm:spPr/>
      <dgm:t>
        <a:bodyPr/>
        <a:lstStyle/>
        <a:p>
          <a:endParaRPr lang="en-US"/>
        </a:p>
      </dgm:t>
    </dgm:pt>
    <dgm:pt modelId="{5743A57A-0000-4000-8000-000000000008}" type="sibTrans" cxnId="{5743A57A-0000-4000-8000-000000000006}">
      <dgm:prSet/>
      <dgm:spPr/>
      <dgm:t>
        <a:bodyPr/>
        <a:lstStyle/>
        <a:p>
          <a:endParaRPr lang="en-US"/>
        </a:p>
      </dgm:t>
    </dgm:pt>
    <dgm:pt modelId="{5743A57A-0000-4000-8000-000000000009}">
      <dgm:prSet/>
      <dgm:spPr/>
      <dgm:t>
        <a:bodyPr/>
        <a:lstStyle/>
        <a:p>
          <a:r>
            <a:rPr lang="en-US"/>
            <a:t>Sketches</a:t>
          </a:r>
        </a:p>
      </dgm:t>
    </dgm:pt>
    <dgm:pt modelId="{5743A57A-0000-4000-8000-00000000000B}" type="parTrans" cxnId="{5743A57A-0000-4000-8000-00000000000A}">
      <dgm:prSet/>
      <dgm:spPr/>
      <dgm:t>
        <a:bodyPr/>
        <a:lstStyle/>
        <a:p>
          <a:endParaRPr lang="en-US"/>
        </a:p>
      </dgm:t>
    </dgm:pt>
    <dgm:pt modelId="{5743A57A-0000-4000-8000-00000000000C}" type="sibTrans" cxnId="{5743A57A-0000-4000-8000-00000000000A}">
      <dgm:prSet/>
      <dgm:spPr/>
      <dgm:t>
        <a:bodyPr/>
        <a:lstStyle/>
        <a:p>
          <a:endParaRPr lang="en-US"/>
        </a:p>
      </dgm:t>
    </dgm:pt>
    <dgm:pt modelId="{5743A57A-0000-4000-8000-00000000000D}">
      <dgm:prSet/>
      <dgm:spPr/>
      <dgm:t>
        <a:bodyPr/>
        <a:lstStyle/>
        <a:p>
          <a:r>
            <a:rPr lang="en-US"/>
            <a:t>Build</a:t>
          </a:r>
        </a:p>
      </dgm:t>
    </dgm:pt>
    <dgm:pt modelId="{5743A57A-0000-4000-8000-00000000000F}" type="parTrans" cxnId="{5743A57A-0000-4000-8000-00000000000E}">
      <dgm:prSet/>
      <dgm:spPr/>
      <dgm:t>
        <a:bodyPr/>
        <a:lstStyle/>
        <a:p>
          <a:endParaRPr lang="en-US"/>
        </a:p>
      </dgm:t>
    </dgm:pt>
    <dgm:pt modelId="{5743A57A-0000-4000-8000-000000000010}" type="sibTrans" cxnId="{5743A57A-0000-4000-8000-00000000000E}">
      <dgm:prSet/>
      <dgm:spPr/>
      <dgm:t>
        <a:bodyPr/>
        <a:lstStyle/>
        <a:p>
          <a:endParaRPr lang="en-US"/>
        </a:p>
      </dgm:t>
    </dgm:pt>
    <dgm:pt modelId="{5743A57A-0000-4000-8000-000000000011}">
      <dgm:prSet/>
      <dgm:spPr/>
      <dgm:t>
        <a:bodyPr/>
        <a:lstStyle/>
        <a:p>
          <a:r>
            <a:rPr lang="en-US"/>
            <a:t>Code</a:t>
          </a:r>
        </a:p>
      </dgm:t>
    </dgm:pt>
    <dgm:pt modelId="{5743A57A-0000-4000-8000-000000000013}" type="parTrans" cxnId="{5743A57A-0000-4000-8000-000000000012}">
      <dgm:prSet/>
      <dgm:spPr/>
      <dgm:t>
        <a:bodyPr/>
        <a:lstStyle/>
        <a:p>
          <a:endParaRPr lang="en-US"/>
        </a:p>
      </dgm:t>
    </dgm:pt>
    <dgm:pt modelId="{5743A57A-0000-4000-8000-000000000014}" type="sibTrans" cxnId="{5743A57A-0000-4000-8000-000000000012}">
      <dgm:prSet/>
      <dgm:spPr/>
      <dgm:t>
        <a:bodyPr/>
        <a:lstStyle/>
        <a:p>
          <a:endParaRPr lang="en-US"/>
        </a:p>
      </dgm:t>
    </dgm:pt>
    <dgm:pt modelId="{5743A57A-0000-4000-8000-000000000015}">
      <dgm:prSet/>
      <dgm:spPr/>
      <dgm:t>
        <a:bodyPr/>
        <a:lstStyle/>
        <a:p>
          <a:r>
            <a:rPr lang="en-US"/>
            <a:t>Tests</a:t>
          </a:r>
        </a:p>
      </dgm:t>
    </dgm:pt>
    <dgm:pt modelId="{5743A57A-0000-4000-8000-000000000017}" type="parTrans" cxnId="{5743A57A-0000-4000-8000-000000000016}">
      <dgm:prSet/>
      <dgm:spPr/>
      <dgm:t>
        <a:bodyPr/>
        <a:lstStyle/>
        <a:p>
          <a:endParaRPr lang="en-US"/>
        </a:p>
      </dgm:t>
    </dgm:pt>
    <dgm:pt modelId="{5743A57A-0000-4000-8000-000000000018}" type="sibTrans" cxnId="{5743A57A-0000-4000-8000-000000000016}">
      <dgm:prSet/>
      <dgm:spPr/>
      <dgm:t>
        <a:bodyPr/>
        <a:lstStyle/>
        <a:p>
          <a:endParaRPr lang="en-US"/>
        </a:p>
      </dgm:t>
    </dgm:pt>
  </dgm:ptLst>
  <dgm:cxnLst>
    <dgm:cxn modelId="{5743A57A-0000-4000-8000-000000000002}" srcId="{5743A57A-0000-4000-8000-000000000000}" destId="{5743A57A-0000-4000-8000-000000000001}" srcOrd="0" destOrd="0" parTransId="{5743A57A-0000-4000-8000-000000000003}" sibTransId="{5743A57A-0000-4000-8000-000000000004}"/>
    <dgm:cxn modelId="{5743A57A-0000-4000-8000-000000000006}" srcId="{5743A57A-0000-4000-8000-000000000001}" destId="{5743A57A-0000-4000-8000-000000000005}" srcOrd="0" destOrd="0" parTransId="{5743A57A-0000-4000-8000-000000000007}" sibTransId="{5743A57A-0000-4000-8000-000000000008}"/>
    <dgm:cxn modelId="{5743A57A-0000-4000-8000-00000000000A}" srcId="{5743A57A-0000-4000-8000-000000000005}" destId="{5743A57A-0000-4000-8000-000000000009}" srcOrd="0" destOrd="0" parTransId="{5743A57A-0000-4000-8000-00000000000B}" sibTransId="{5743A57A-0000-4000-8000-00000000000C}"/>
    <dgm:cxn modelId="{5743A57A-0000-4000-8000-00000000000E}" srcId="{5743A57A-0000-4000-8000-000000000001}" destId="{5743A57A-0000-4000-8000-00000000000D}" srcOrd="1" destOrd="0" parTransId="{5743A57A-0000-4000-8000-00000000000F}" sibTransId="{5743A57A-0000-4000-8000-000000000010}"/>
    <dgm:cxn modelId="{5743A57A-0000-4000-8000-000000000012}" srcId="{5743A57A-0000-4000-8000-00000000000D}" destId="{5743A57A-0000-4000-8000-000000000011}" srcOrd="0" destOrd="0" parTransId="{5743A57A-0000-4000-8000-000000000013}" sibTransId="{5743A57A-0000-4000-8000-000000000014}"/>
    <dgm:cxn modelId="{5743A57A-0000-4000-8000-000000000016}" srcId="{5743A57A-0000-4000-8000-00000000000D}" destId="{5743A57A-0000-4000-8000-000000000015}" srcOrd="1" destOrd="0" parTransId="{5743A57A-0000-4000-8000-000000000017}" sibTransId="{5743A57A-0000-4000-8000-000000000018}"/>
  </dgm:cxnLst>
  <dgm:bg/>
  <dgm:whole/>
  <dgm:extLst>
    <a:ext uri="http://schemas.microsoft.com/office/drawing/2008/diagram">
      <dsp:dataModelExt xmlns:dsp="http://schemas.microsoft.com/office/drawing/2008/diagram" relId="rId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3A57A-0000-4000-8000-000000010000}">
      <dsp:nvSpPr>
        <dsp:cNvPr id="0" name=""/>
        <dsp:cNvSpPr/>
      </dsp:nvSpPr>
      <dsp:spPr>
        <a:xfrm>
          <a:off x="2743200" y="864108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1}">
      <dsp:nvSpPr>
        <dsp:cNvPr id="0" name=""/>
        <dsp:cNvSpPr/>
      </dsp:nvSpPr>
      <dsp:spPr>
        <a:xfrm>
          <a:off x="914400" y="1066800"/>
          <a:ext cx="2743200" cy="0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2}">
      <dsp:nvSpPr>
        <dsp:cNvPr id="0" name=""/>
        <dsp:cNvSpPr/>
      </dsp:nvSpPr>
      <dsp:spPr>
        <a:xfrm>
          <a:off x="914400" y="1066800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3}">
      <dsp:nvSpPr>
        <dsp:cNvPr id="0" name=""/>
        <dsp:cNvSpPr/>
      </dsp:nvSpPr>
      <dsp:spPr>
        <a:xfrm>
          <a:off x="3657600" y="1066800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4}">
      <dsp:nvSpPr>
        <dsp:cNvPr id="0" name=""/>
        <dsp:cNvSpPr/>
      </dsp:nvSpPr>
      <dsp:spPr>
        <a:xfrm>
          <a:off x="914400" y="1930908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5}">
      <dsp:nvSpPr>
        <dsp:cNvPr id="0" name=""/>
        <dsp:cNvSpPr/>
      </dsp:nvSpPr>
      <dsp:spPr>
        <a:xfrm>
          <a:off x="914400" y="2133600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6}">
      <dsp:nvSpPr>
        <dsp:cNvPr id="0" name=""/>
        <dsp:cNvSpPr/>
      </dsp:nvSpPr>
      <dsp:spPr>
        <a:xfrm>
          <a:off x="3657600" y="1930908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7}">
      <dsp:nvSpPr>
        <dsp:cNvPr id="0" name=""/>
        <dsp:cNvSpPr/>
      </dsp:nvSpPr>
      <dsp:spPr>
        <a:xfrm>
          <a:off x="2743200" y="2133600"/>
          <a:ext cx="1828800" cy="0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8}">
      <dsp:nvSpPr>
        <dsp:cNvPr id="0" name=""/>
        <dsp:cNvSpPr/>
      </dsp:nvSpPr>
      <dsp:spPr>
        <a:xfrm>
          <a:off x="2743200" y="2133600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9}">
      <dsp:nvSpPr>
        <dsp:cNvPr id="0" name=""/>
        <dsp:cNvSpPr/>
      </dsp:nvSpPr>
      <dsp:spPr>
        <a:xfrm>
          <a:off x="4572000" y="2133600"/>
          <a:ext cx="0" cy="202692"/>
        </a:xfrm>
        <a:prstGeom prst="line">
          <a:avLst/>
        </a:prstGeom>
        <a:noFill/>
        <a:ln w="19050">
          <a:solidFill>
            <a:schemeClr val="accent1">
              <a:tint val="60000"/>
            </a:schemeClr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43A57A-0000-4000-8000-00000001000A}">
      <dsp:nvSpPr>
        <dsp:cNvPr id="0" name=""/>
        <dsp:cNvSpPr/>
      </dsp:nvSpPr>
      <dsp:spPr>
        <a:xfrm>
          <a:off x="2147926" y="202692"/>
          <a:ext cx="1190549" cy="661416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0" anchor="ctr" anchorCtr="0">
          <a:noAutofit/>
        </a:bodyPr>
        <a:lstStyle/>
        <a:p>
          <a:pPr lvl="0" algn="ctr">
            <a:buNone/>
          </a:pPr>
          <a:r>
            <a:rPr lang="en-US" sz="1850">
              <a:solidFill>
                <a:schemeClr val="lt1"/>
              </a:solidFill>
            </a:rPr>
            <a:t>Lead</a:t>
          </a:r>
        </a:p>
      </dsp:txBody>
      <dsp:txXfrm>
        <a:off x="2219358" y="242377"/>
        <a:ext cx="1047683" cy="582046"/>
      </dsp:txXfrm>
    </dsp:sp>
    <dsp:sp modelId="{5743A57A-0000-4000-8000-00000001000B}">
      <dsp:nvSpPr>
        <dsp:cNvPr id="0" name=""/>
        <dsp:cNvSpPr/>
      </dsp:nvSpPr>
      <dsp:spPr>
        <a:xfrm>
          <a:off x="319126" y="1269492"/>
          <a:ext cx="1190549" cy="661416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0" anchor="ctr" anchorCtr="0">
          <a:noAutofit/>
        </a:bodyPr>
        <a:lstStyle/>
        <a:p>
          <a:pPr lvl="0" algn="ctr">
            <a:buNone/>
          </a:pPr>
          <a:r>
            <a:rPr lang="en-US" sz="1850">
              <a:solidFill>
                <a:schemeClr val="lt1"/>
              </a:solidFill>
            </a:rPr>
            <a:t>Design</a:t>
          </a:r>
        </a:p>
      </dsp:txBody>
      <dsp:txXfrm>
        <a:off x="390559" y="1309177"/>
        <a:ext cx="1047683" cy="582046"/>
      </dsp:txXfrm>
    </dsp:sp>
    <dsp:sp modelId="{5743A57A-0000-4000-8000-00000001000C}">
      <dsp:nvSpPr>
        <dsp:cNvPr id="0" name=""/>
        <dsp:cNvSpPr/>
      </dsp:nvSpPr>
      <dsp:spPr>
        <a:xfrm>
          <a:off x="319126" y="2336292"/>
          <a:ext cx="1190549" cy="661416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0" anchor="ctr" anchorCtr="0">
          <a:noAutofit/>
        </a:bodyPr>
        <a:lstStyle/>
        <a:p>
          <a:pPr lvl="0" algn="ctr">
            <a:buNone/>
          </a:pPr>
          <a:r>
            <a:rPr lang="en-US" sz="1850">
              <a:solidFill>
                <a:schemeClr val="lt1"/>
              </a:solidFill>
            </a:rPr>
            <a:t>Sketches</a:t>
          </a:r>
        </a:p>
      </dsp:txBody>
      <dsp:txXfrm>
        <a:off x="390559" y="2375977"/>
        <a:ext cx="1047683" cy="582046"/>
      </dsp:txXfrm>
    </dsp:sp>
    <dsp:sp modelId="{5743A57A-0000-4000-8000-00000001000D}">
      <dsp:nvSpPr>
        <dsp:cNvPr id="0" name=""/>
        <dsp:cNvSpPr/>
      </dsp:nvSpPr>
      <dsp:spPr>
        <a:xfrm>
          <a:off x="3062326" y="1269492"/>
          <a:ext cx="1190549" cy="661416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0" anchor="ctr" anchorCtr="0">
          <a:noAutofit/>
        </a:bodyPr>
        <a:lstStyle/>
        <a:p>
          <a:pPr lvl="0" algn="ctr">
            <a:buNone/>
          </a:pPr>
          <a:r>
            <a:rPr lang="en-US" sz="1850">
              <a:solidFill>
                <a:schemeClr val="lt1"/>
              </a:solidFill>
            </a:rPr>
            <a:t>Build</a:t>
          </a:r>
        </a:p>
      </dsp:txBody>
      <dsp:txXfrm>
        <a:off x="3133758" y="1309177"/>
        <a:ext cx="1047683" cy="582046"/>
      </dsp:txXfrm>
    </dsp:sp>
    <dsp:sp modelId="{5743A57A-0000-4000-8000-00000001000E}">
      <dsp:nvSpPr>
        <dsp:cNvPr id="0" name=""/>
        <dsp:cNvSpPr/>
      </dsp:nvSpPr>
      <dsp:spPr>
        <a:xfrm>
          <a:off x="2147926" y="2336292"/>
          <a:ext cx="1190549" cy="661416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0" anchor="ctr" anchorCtr="0">
          <a:noAutofit/>
        </a:bodyPr>
        <a:lstStyle/>
        <a:p>
          <a:pPr lvl="0" algn="ctr">
            <a:buNone/>
          </a:pPr>
          <a:r>
            <a:rPr lang="en-US" sz="1850">
              <a:solidFill>
                <a:schemeClr val="lt1"/>
              </a:solidFill>
            </a:rPr>
            <a:t>Code</a:t>
          </a:r>
        </a:p>
      </dsp:txBody>
      <dsp:txXfrm>
        <a:off x="2219358" y="2375977"/>
        <a:ext cx="1047683" cy="582046"/>
      </dsp:txXfrm>
    </dsp:sp>
    <dsp:sp modelId="{5743A57A-0000-4000-8000-00000001000F}">
      <dsp:nvSpPr>
        <dsp:cNvPr id="0" name=""/>
        <dsp:cNvSpPr/>
      </dsp:nvSpPr>
      <dsp:spPr>
        <a:xfrm>
          <a:off x="3976726" y="2336292"/>
          <a:ext cx="1190549" cy="661416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0" anchor="ctr" anchorCtr="0">
          <a:noAutofit/>
        </a:bodyPr>
        <a:lstStyle/>
        <a:p>
          <a:pPr lvl="0" algn="ctr">
            <a:buNone/>
          </a:pPr>
          <a:r>
            <a:rPr lang="en-US" sz="1850">
              <a:solidFill>
                <a:schemeClr val="lt1"/>
              </a:solidFill>
            </a:rPr>
            <a:t>Tests</a:t>
          </a:r>
        </a:p>
      </dsp:txBody>
      <dsp:txXfrm>
        <a:off x="4048158" y="2375977"/>
        <a:ext cx="1047683" cy="5820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urn:microsoft.com/office/officeart/2005/8/layout/hierarchy1">
  <dgm:title val="Hierarchy"/>
  <dgm:desc val="Shows a tree: each item below the item it belongs to."/>
  <dgm:catLst>
    <dgm:cat type="hierarchy" pri="1000"/>
  </dgm:catLst>
  <dgm:layoutNode name="diagram">
    <dgm:alg type="hierChild">
      <dgm:param type="linDir" val="fromL"/>
      <dgm:param type="chAlign" val="t"/>
    </dgm:alg>
    <dgm:shape r:blip="">
      <dgm:adjLst/>
    </dgm:shape>
    <dgm:presOf/>
    <dgm:constrLst/>
    <dgm:ruleLst/>
    <dgm:forEach name="branches" axis="ch" ptType="node">
      <dgm:layoutNode name="branch">
        <dgm:alg type="hierRoot"/>
        <dgm:shape r:blip="">
          <dgm:adjLst/>
        </dgm:shape>
        <dgm:presOf/>
        <dgm:constrLst/>
        <dgm:ruleLst/>
        <dgm:layoutNode name="item" styleLbl="node1">
          <dgm:alg type="tx"/>
          <dgm:shape type="roundRect" r:blip="">
            <dgm:adjLst/>
          </dgm:shape>
          <dgm:presOf axis="self"/>
          <dgm:constrLst/>
          <dgm:ruleLst/>
        </dgm:layoutNode>
        <dgm:layoutNode name="below">
          <dgm:alg type="hierChild">
            <dgm:param type="chAlign" val="t"/>
          </dgm:alg>
          <dgm:shape r:blip="">
            <dgm:adjLst/>
          </dgm:shape>
          <dgm:presOf/>
          <dgm:constrLst/>
          <dgm:ruleLst/>
          <dgm:forEach name="joins" axis="ch" ptType="parTrans">
            <dgm:layoutNode name="join" styleLbl="connector">
              <dgm:alg type="conn">
                <dgm:param type="dim" val="1D"/>
                <dgm:param type="connRout" val="bend"/>
                <dgm:param type="begPts" val="bCtr"/>
                <dgm:param type="endPts" val="tCtr"/>
              </dgm:alg>
              <dgm:shape type="conn" r:blip="">
                <dgm:adjLst/>
              </dgm:shape>
              <dgm:presOf axis="self"/>
              <dgm:constrLst/>
              <dgm:ruleLst/>
            </dgm:layoutNode>
          </dgm:forEach>
          <dgm:forEach name="deeper" ref="branches"/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Flat"/>
  <dgm:desc val=""/>
  <dgm:catLst>
    <dgm:cat type="simple" pri="1000"/>
  </dgm:catLst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onnector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F+FmB9SobsL9yNIfOyYnGshtw==">CgMxLjA4AHIhMVNtZFA4RW5vUUEtZnR0Z0FDZ0JtTmF5WjhWWEZuMDJf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1118</Words>
  <Paragraphs>279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 Suite</dc:creator>
  <cp:lastModifiedBy>PKALab</cp:lastModifiedBy>
  <cp:revision>129</cp:revision>
  <dcterms:created xsi:type="dcterms:W3CDTF">2013-12-23T23:15:00Z</dcterms:created>
  <dcterms:modified xsi:type="dcterms:W3CDTF">2026-10-21T05:40:28Z</dcterms:modified>
</cp:coreProperties>
</file>