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lastRenderedPageBreak/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A13F1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211BF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211BF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A13F1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211BF5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 xml:space="preserve">Совместно с "Лабораторией систем управления и интегрированных информационных технологий" 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211BF5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7A13F1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 xml:space="preserve">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702C3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6933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A33E4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расширяющие методы, лямбда-выражения, анонимные и динамические типы, а также язык интегрированных запросов 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четкой и выразительной композиции, чем это было возможно в ранних платформах.</w:t>
      </w:r>
    </w:p>
    <w:p w:rsidR="00546692" w:rsidRDefault="00546692" w:rsidP="006F38D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550.65pt" o:ole="">
            <v:imagedata r:id="rId26" o:title=""/>
          </v:shape>
          <o:OLEObject Type="Embed" ProgID="Visio.Drawing.15" ShapeID="_x0000_i1025" DrawAspect="Content" ObjectID="_1581021875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8.65pt;height:649.35pt" o:ole="">
            <v:imagedata r:id="rId28" o:title=""/>
          </v:shape>
          <o:OLEObject Type="Embed" ProgID="Visio.Drawing.15" ShapeID="_x0000_i1026" DrawAspect="Content" ObjectID="_1581021876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8D2683" w:rsidRDefault="001D4F01" w:rsidP="001D4F01">
      <w:pPr>
        <w:pStyle w:val="a4"/>
        <w:ind w:left="0" w:firstLine="709"/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8D2683">
        <w:object w:dxaOrig="6936" w:dyaOrig="16465">
          <v:shape id="_x0000_i1027" type="#_x0000_t75" style="width:280pt;height:664.65pt" o:ole="">
            <v:imagedata r:id="rId30" o:title=""/>
          </v:shape>
          <o:OLEObject Type="Embed" ProgID="Visio.Drawing.15" ShapeID="_x0000_i1027" DrawAspect="Content" ObjectID="_1581021877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3.35pt;height:631.35pt" o:ole="">
            <v:imagedata r:id="rId32" o:title=""/>
          </v:shape>
          <o:OLEObject Type="Embed" ProgID="Visio.Drawing.15" ShapeID="_x0000_i1028" DrawAspect="Content" ObjectID="_1581021878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2.65pt;height:694pt" o:ole="">
            <v:imagedata r:id="rId34" o:title=""/>
          </v:shape>
          <o:OLEObject Type="Embed" ProgID="Visio.Drawing.15" ShapeID="_x0000_i1029" DrawAspect="Content" ObjectID="_1581021879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  <w:lang w:val="en-US"/>
              </w:rPr>
            </w:pPr>
            <w:r w:rsidRPr="009613C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просмотр списка маршрутов, его редактирование</w:t>
            </w:r>
          </w:p>
          <w:p w:rsidR="00211BF5" w:rsidRPr="009613C3" w:rsidRDefault="00211BF5" w:rsidP="00CB7B4A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</w:t>
            </w:r>
            <w:r w:rsidRPr="009613C3">
              <w:rPr>
                <w:sz w:val="24"/>
                <w:szCs w:val="24"/>
                <w:lang w:val="en-US"/>
              </w:rPr>
              <w:t>.2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1.3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1.4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маршрута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начальной точки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конечной точки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промежуточных точек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описания мест маршрутов, его редактирование</w:t>
            </w:r>
          </w:p>
          <w:p w:rsidR="00211BF5" w:rsidRPr="009613C3" w:rsidRDefault="00211BF5" w:rsidP="00CB7B4A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2.2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2.3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расположения места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названия места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места</w:t>
            </w: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фото к маршруту</w:t>
            </w: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3.2</w:t>
            </w: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Добавление фото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Удаление фото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>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  <w:bookmarkStart w:id="2" w:name="_GoBack"/>
      <w:bookmarkEnd w:id="2"/>
    </w:p>
    <w:sectPr w:rsidR="002A300A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C16BD"/>
    <w:rsid w:val="001D4F01"/>
    <w:rsid w:val="00211BF5"/>
    <w:rsid w:val="002A300A"/>
    <w:rsid w:val="002D0219"/>
    <w:rsid w:val="00354172"/>
    <w:rsid w:val="00376265"/>
    <w:rsid w:val="003956E7"/>
    <w:rsid w:val="00546692"/>
    <w:rsid w:val="005A7D3C"/>
    <w:rsid w:val="005A7DF9"/>
    <w:rsid w:val="006835CE"/>
    <w:rsid w:val="007A13F1"/>
    <w:rsid w:val="007E0A96"/>
    <w:rsid w:val="00833B39"/>
    <w:rsid w:val="0088560E"/>
    <w:rsid w:val="008D2683"/>
    <w:rsid w:val="0091674A"/>
    <w:rsid w:val="00994AE9"/>
    <w:rsid w:val="00A21D6F"/>
    <w:rsid w:val="00A472A7"/>
    <w:rsid w:val="00C25CFC"/>
    <w:rsid w:val="00C726C6"/>
    <w:rsid w:val="00CE5931"/>
    <w:rsid w:val="00CF6F57"/>
    <w:rsid w:val="00D01338"/>
    <w:rsid w:val="00DC27B9"/>
    <w:rsid w:val="00E76AE2"/>
    <w:rsid w:val="00E76C5F"/>
    <w:rsid w:val="00EA39F5"/>
    <w:rsid w:val="00EF3CB7"/>
    <w:rsid w:val="00F44042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095F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23</Pages>
  <Words>4216</Words>
  <Characters>24037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2018-02-17T11:29:00Z</dcterms:created>
  <dcterms:modified xsi:type="dcterms:W3CDTF">2018-02-24T20:58:00Z</dcterms:modified>
</cp:coreProperties>
</file>