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Anexa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Declara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ție de asumare a autenticității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Subsemnatul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Pavel Liviu-Constantin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student în grupa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2117_2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declar pe proprie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cadrul temei de evaluare 2 ”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Realizarea unei aplica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ții in tehnologii web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HTML, CSS, JS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” din cadrul disciplinei Informatic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Aplicată, anul universitar 2022-2023 sunt furnizate de către mine conform cunoștințelor și competențelor proprii și prin urmare furnizează o soluție unică și individuală la cerințele formulate.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special în Regulamentul ECTS: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ab/>
        <w:t xml:space="preserve">Semn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12.9.2022</w:t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Liviu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tcluj.ro/universitatea/despre/regulamente/regulamente-studenti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