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626EA8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</w:t>
      </w:r>
      <w:proofErr w:type="gramStart"/>
      <w:r w:rsidRPr="004F3919">
        <w:rPr>
          <w:rFonts w:ascii="Times New Roman" w:hAnsi="Times New Roman" w:cs="Times New Roman"/>
          <w:i/>
          <w:sz w:val="28"/>
        </w:rPr>
        <w:t xml:space="preserve">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proofErr w:type="gramEnd"/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626EA8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  <w:proofErr w:type="spellEnd"/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  <w:proofErr w:type="spellEnd"/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626EA8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Pr="00BC1F41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proofErr w:type="spellEnd"/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rPr>
          <w:lang w:val="en-US"/>
        </w:rPr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1DBB14B7" w:rsidR="00C14113" w:rsidRDefault="00C14113" w:rsidP="00C14113">
      <w:pPr>
        <w:pStyle w:val="af4"/>
      </w:pPr>
      <w:r>
        <w:t>Работы по созданию автоматизированной системы 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262E46E3" w:rsidR="009B585D" w:rsidRDefault="009B585D" w:rsidP="001B75E0">
      <w:pPr>
        <w:pStyle w:val="a8"/>
      </w:pPr>
      <w:r>
        <w:t>Замена бумажной книги резервов 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3153E84" w:rsidR="00D261CD" w:rsidRDefault="00D261CD" w:rsidP="00D261CD">
      <w:pPr>
        <w:pStyle w:val="af4"/>
      </w:pPr>
      <w:r>
        <w:t>Мобильное приложение предназначено для сотрудников ресторанов и баров, обрабатывающих заявки посетителей на бронирование столиков или мест.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77777777" w:rsidR="00131572" w:rsidRPr="00131572" w:rsidRDefault="00131572" w:rsidP="00131572">
      <w:pPr>
        <w:pStyle w:val="af4"/>
      </w:pPr>
      <w:r w:rsidRPr="00131572">
        <w:t>Приложение 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9754F4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57F98D78" w:rsidR="00131572" w:rsidRDefault="00131572" w:rsidP="00131572">
      <w:pPr>
        <w:pStyle w:val="af4"/>
      </w:pPr>
      <w:r w:rsidRPr="00131572">
        <w:rPr>
          <w:highlight w:val="yellow"/>
        </w:rPr>
        <w:t>…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proofErr w:type="spellStart"/>
            <w:r w:rsidRPr="005B275A">
              <w:rPr>
                <w:lang w:val="en-US"/>
              </w:rPr>
              <w:t>Общие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функциональные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требования</w:t>
            </w:r>
            <w:proofErr w:type="spellEnd"/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7A5D14" w:rsidRPr="007A5D14" w14:paraId="4FDB02C0" w14:textId="77777777" w:rsidTr="009E4670">
        <w:tc>
          <w:tcPr>
            <w:tcW w:w="1271" w:type="dxa"/>
          </w:tcPr>
          <w:p w14:paraId="17A23B06" w14:textId="1E9CD9D6" w:rsidR="007A5D14" w:rsidRPr="0031392A" w:rsidRDefault="007A5D14" w:rsidP="00E87E62">
            <w:pPr>
              <w:pStyle w:val="afa"/>
              <w:rPr>
                <w:highlight w:val="yellow"/>
                <w:lang w:val="en-US"/>
              </w:rPr>
            </w:pPr>
            <w:r w:rsidRPr="0031392A">
              <w:rPr>
                <w:highlight w:val="yellow"/>
                <w:lang w:val="en-US"/>
              </w:rPr>
              <w:t>A</w:t>
            </w:r>
          </w:p>
        </w:tc>
        <w:tc>
          <w:tcPr>
            <w:tcW w:w="8073" w:type="dxa"/>
          </w:tcPr>
          <w:p w14:paraId="45BF1D7C" w14:textId="1AB7F774" w:rsidR="007A5D14" w:rsidRPr="0031392A" w:rsidRDefault="007A5D14" w:rsidP="00E87E62">
            <w:pPr>
              <w:pStyle w:val="afa"/>
              <w:rPr>
                <w:highlight w:val="yellow"/>
              </w:rPr>
            </w:pPr>
            <w:r w:rsidRPr="0031392A">
              <w:rPr>
                <w:highlight w:val="yellow"/>
              </w:rPr>
              <w:t>Требования к администрированию, управлению доступом и безопасностью системы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9754F4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lastRenderedPageBreak/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9754F4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03E2F3B6" w:rsidR="009754F4" w:rsidRDefault="009754F4" w:rsidP="009754F4">
      <w:pPr>
        <w:pStyle w:val="af4"/>
      </w:pPr>
      <w:r>
        <w:t>Для обеспечения работоспособности приложения достаточно одного а</w:t>
      </w:r>
      <w:r>
        <w:t>дминистратор</w:t>
      </w:r>
      <w:r>
        <w:t>а</w:t>
      </w:r>
      <w:r>
        <w:t xml:space="preserve"> вендора</w:t>
      </w:r>
      <w:r>
        <w:t>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9754F4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9754F4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lastRenderedPageBreak/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AB0635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77777777" w:rsidR="00D013AD" w:rsidRPr="009745BB" w:rsidRDefault="00D013AD" w:rsidP="00D013AD">
      <w:pPr>
        <w:pStyle w:val="af4"/>
      </w:pPr>
      <w:r w:rsidRPr="009745BB">
        <w:t>Состав и содержание работ по созданию сайта 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</w:t>
      </w:r>
      <w:r w:rsidRPr="00D013AD">
        <w:t>ут</w:t>
      </w:r>
      <w:r w:rsidRPr="00D013AD">
        <w:t xml:space="preserve">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590FD445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и опубликованы на сайте </w:t>
      </w:r>
      <w:r w:rsidRPr="00127FAD">
        <w:rPr>
          <w:highlight w:val="yellow"/>
        </w:rPr>
        <w:t>github.com</w:t>
      </w:r>
      <w:r w:rsidRPr="00127FAD">
        <w:rPr>
          <w:highlight w:val="yellow"/>
        </w:rPr>
        <w:t xml:space="preserve"> в репозитории команды </w:t>
      </w:r>
      <w:r w:rsidR="00127FAD" w:rsidRPr="00127FAD">
        <w:rPr>
          <w:highlight w:val="yellow"/>
        </w:rPr>
        <w:t>разработчика.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6B6EBD0" w:rsidR="00127FAD" w:rsidRDefault="00127FAD" w:rsidP="00127FAD">
      <w:pPr>
        <w:pStyle w:val="a3"/>
      </w:pPr>
      <w:r>
        <w:t>Системы аналоги</w:t>
      </w:r>
    </w:p>
    <w:p w14:paraId="223322F2" w14:textId="77777777" w:rsidR="00127FAD" w:rsidRPr="00127FAD" w:rsidRDefault="00127FAD" w:rsidP="00127FAD">
      <w:pPr>
        <w:pStyle w:val="af4"/>
      </w:pPr>
    </w:p>
    <w:sectPr w:rsidR="00127FAD" w:rsidRPr="00127FAD" w:rsidSect="00626EA8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4082" w14:textId="77777777" w:rsidR="00626EA8" w:rsidRDefault="00626EA8" w:rsidP="004B059B">
      <w:pPr>
        <w:spacing w:after="0" w:line="240" w:lineRule="auto"/>
      </w:pPr>
      <w:r>
        <w:separator/>
      </w:r>
    </w:p>
  </w:endnote>
  <w:endnote w:type="continuationSeparator" w:id="0">
    <w:p w14:paraId="05778639" w14:textId="77777777" w:rsidR="00626EA8" w:rsidRDefault="00626EA8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0E26" w14:textId="77777777" w:rsidR="00626EA8" w:rsidRDefault="00626EA8" w:rsidP="004B059B">
      <w:pPr>
        <w:spacing w:after="0" w:line="240" w:lineRule="auto"/>
      </w:pPr>
      <w:r>
        <w:separator/>
      </w:r>
    </w:p>
  </w:footnote>
  <w:footnote w:type="continuationSeparator" w:id="0">
    <w:p w14:paraId="61973B6C" w14:textId="77777777" w:rsidR="00626EA8" w:rsidRDefault="00626EA8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6888BF26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B75E0"/>
    <w:rsid w:val="001C3422"/>
    <w:rsid w:val="001F1CE6"/>
    <w:rsid w:val="00225C83"/>
    <w:rsid w:val="00291D96"/>
    <w:rsid w:val="002D2E3B"/>
    <w:rsid w:val="002D5663"/>
    <w:rsid w:val="0031392A"/>
    <w:rsid w:val="0036693F"/>
    <w:rsid w:val="00373E72"/>
    <w:rsid w:val="00375BD8"/>
    <w:rsid w:val="003A30DC"/>
    <w:rsid w:val="003B5BFF"/>
    <w:rsid w:val="00414401"/>
    <w:rsid w:val="00455D55"/>
    <w:rsid w:val="00477626"/>
    <w:rsid w:val="00492725"/>
    <w:rsid w:val="004B059B"/>
    <w:rsid w:val="004B3C99"/>
    <w:rsid w:val="004B4BC9"/>
    <w:rsid w:val="004D2A50"/>
    <w:rsid w:val="004F3919"/>
    <w:rsid w:val="0053454C"/>
    <w:rsid w:val="005B275A"/>
    <w:rsid w:val="005E2D18"/>
    <w:rsid w:val="00626EA8"/>
    <w:rsid w:val="006553B6"/>
    <w:rsid w:val="00670DBC"/>
    <w:rsid w:val="0069255F"/>
    <w:rsid w:val="006B0700"/>
    <w:rsid w:val="006C1B92"/>
    <w:rsid w:val="0070007B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905925"/>
    <w:rsid w:val="009745BB"/>
    <w:rsid w:val="009754F4"/>
    <w:rsid w:val="00992B6B"/>
    <w:rsid w:val="009B585D"/>
    <w:rsid w:val="009D6AD4"/>
    <w:rsid w:val="009E4670"/>
    <w:rsid w:val="009F1AF2"/>
    <w:rsid w:val="00A24D73"/>
    <w:rsid w:val="00A4494C"/>
    <w:rsid w:val="00A909F3"/>
    <w:rsid w:val="00AB0635"/>
    <w:rsid w:val="00B1120C"/>
    <w:rsid w:val="00B26EE0"/>
    <w:rsid w:val="00B50CD1"/>
    <w:rsid w:val="00B5507D"/>
    <w:rsid w:val="00B66CCD"/>
    <w:rsid w:val="00BC1F41"/>
    <w:rsid w:val="00BE1EC5"/>
    <w:rsid w:val="00C14113"/>
    <w:rsid w:val="00C328BE"/>
    <w:rsid w:val="00C47593"/>
    <w:rsid w:val="00C51E14"/>
    <w:rsid w:val="00C6008E"/>
    <w:rsid w:val="00C852AE"/>
    <w:rsid w:val="00C85959"/>
    <w:rsid w:val="00CB32F2"/>
    <w:rsid w:val="00CB59FE"/>
    <w:rsid w:val="00CC4551"/>
    <w:rsid w:val="00CD1AFC"/>
    <w:rsid w:val="00CE0192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F2161"/>
    <w:rsid w:val="00E21D05"/>
    <w:rsid w:val="00E87E62"/>
    <w:rsid w:val="00EF2A3B"/>
    <w:rsid w:val="00F16E02"/>
    <w:rsid w:val="00F32BCD"/>
    <w:rsid w:val="00F76BDB"/>
    <w:rsid w:val="00F842FD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9754F4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15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78</cp:revision>
  <dcterms:created xsi:type="dcterms:W3CDTF">2024-02-09T06:36:00Z</dcterms:created>
  <dcterms:modified xsi:type="dcterms:W3CDTF">2024-03-05T07:52:00Z</dcterms:modified>
</cp:coreProperties>
</file>