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24"/>
        </w:rPr>
        <w:t>Expert în drone și realitate augmentată – Pavel Rosca</w:t>
      </w:r>
    </w:p>
    <w:p>
      <w:pPr>
        <w:spacing w:after="120"/>
      </w:pPr>
      <w:r>
        <w:rPr>
          <w:b/>
          <w:sz w:val="24"/>
        </w:rPr>
        <w:t xml:space="preserve">P1: </w:t>
      </w:r>
      <w:r>
        <w:rPr>
          <w:sz w:val="24"/>
        </w:rPr>
        <w:t>Cercetarea soluțiilor de încărcare autonomă solară pentru platforma aeriană: specificații tehnice ale stațiilor de andocare comerciale compatibile cu DJI Matrice, necesar energetic al dronei și timpi de reîncărcare în funcție de condițiile meteo.</w:t>
      </w:r>
    </w:p>
    <w:p>
      <w:pPr>
        <w:spacing w:after="120"/>
      </w:pPr>
      <w:r>
        <w:rPr>
          <w:b/>
          <w:sz w:val="24"/>
        </w:rPr>
        <w:t xml:space="preserve">P2: </w:t>
      </w:r>
      <w:r>
        <w:rPr>
          <w:sz w:val="24"/>
        </w:rPr>
        <w:t>Evaluarea autonomiei de zbor în condiții meteorologice variate: impactul vântului și al temperaturilor scăzute. Analiza performanței fluxurilor de comunicare — telemetrie MQTT, latența comenzilor, video WebRTC — și documentarea scenariilor de încărcare solară aplicabile.</w:t>
      </w:r>
    </w:p>
    <w:p>
      <w:pPr>
        <w:spacing w:after="120"/>
      </w:pPr>
      <w:r>
        <w:rPr>
          <w:b/>
          <w:sz w:val="24"/>
        </w:rPr>
        <w:t xml:space="preserve">P3: </w:t>
      </w:r>
      <w:r>
        <w:rPr>
          <w:sz w:val="24"/>
        </w:rPr>
        <w:t>Documentarea fezabilității soluțiilor de andocare solară pe un parc de 1 MW și contribuție la ajustările specificațiilor: numărul optim de stații de andocare și validarea bilanțului energetic din raportul 1.4.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