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24"/>
        </w:rPr>
        <w:t>Expert în securitate cibernetică – Vlad Botis</w:t>
      </w:r>
    </w:p>
    <w:p>
      <w:pPr>
        <w:spacing w:after="120"/>
      </w:pPr>
      <w:r>
        <w:rPr>
          <w:b/>
          <w:sz w:val="24"/>
        </w:rPr>
        <w:t xml:space="preserve">P1: </w:t>
      </w:r>
      <w:r>
        <w:rPr>
          <w:sz w:val="24"/>
        </w:rPr>
        <w:t>Evaluarea overhead-ului mecanismelor de securitate din subactivitatea 1.3 asupra performanței sistemului: cost computațional JWT, argon2id, bcrypt și interogările de autentificare per cerere. Documentarea relației dintre securitate și bugetul de performanță per subsistem.</w:t>
      </w:r>
    </w:p>
    <w:p>
      <w:pPr>
        <w:spacing w:after="120"/>
      </w:pPr>
      <w:r>
        <w:rPr>
          <w:b/>
          <w:sz w:val="24"/>
        </w:rPr>
        <w:t xml:space="preserve">P2: </w:t>
      </w:r>
      <w:r>
        <w:rPr>
          <w:sz w:val="24"/>
        </w:rPr>
        <w:t>Benchmarking-ul overhead-ului de securitate: impactul middleware-ului de autentificare, al validării datelor de intrare și al logging-ului structurat. Estimarea overhead-ului activării TLS pe canalele necriptate identificate în 1.3 și a impactului asupra latenței.</w:t>
      </w:r>
    </w:p>
    <w:p>
      <w:pPr>
        <w:spacing w:after="120"/>
      </w:pPr>
      <w:r>
        <w:rPr>
          <w:b/>
          <w:sz w:val="24"/>
        </w:rPr>
        <w:t xml:space="preserve">P3: </w:t>
      </w:r>
      <w:r>
        <w:rPr>
          <w:sz w:val="24"/>
        </w:rPr>
        <w:t>Documentarea compromisurilor acceptabile dintre securitate și performanță per subsistem. Contribuție la ajustările specificațiilor de echipamente din perspectiva securității și validarea secțiunilor din raportul 1.4 privind relația performanță–securitate.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