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left"/>
      </w:pPr>
      <w:r>
        <w:rPr>
          <w:b/>
          <w:sz w:val="28"/>
        </w:rPr>
        <w:t>Expert în Back-End Development – Gangoș George</w:t>
      </w:r>
    </w:p>
    <w:p>
      <w:pPr>
        <w:spacing w:before="120" w:after="120"/>
        <w:jc w:val="both"/>
      </w:pPr>
      <w:r>
        <w:rPr>
          <w:b/>
          <w:sz w:val="24"/>
        </w:rPr>
        <w:t xml:space="preserve">P1: </w:t>
      </w:r>
      <w:r>
        <w:rPr>
          <w:b w:val="0"/>
          <w:sz w:val="24"/>
        </w:rPr>
        <w:t>Definirea indicatorilor de performanță pentru platforma software de management în contextul subactivității 1.4: timpi de răspuns ai endpoint-urilor REST, debit de interogări per categorie de complexitate și comportamentul fondului de conexiuni la baza de date PostgreSQL. Analiza structurală a interogărilor cu risc de degradare a performanței — problema N+1 la lista sarcinilor și a tehnicienilor, interogările agregate ale tabloului de bord și interogarea de verificare a utilizatorului în middleware-ul de autentificare —, pornind de la arhitectura validată în subactivitatea 1.3. Documentarea bazei de referință pentru evaluare: stiva Fastify + Prisma + PostgreSQL, structura modulară pe domenii de business și modelul de autentificare JWT cu control al accesului bazat pe roluri.</w:t>
      </w:r>
    </w:p>
    <w:p>
      <w:pPr>
        <w:spacing w:before="120" w:after="120"/>
        <w:jc w:val="both"/>
      </w:pPr>
      <w:r>
        <w:rPr>
          <w:b/>
          <w:sz w:val="24"/>
        </w:rPr>
        <w:t xml:space="preserve">P2: </w:t>
      </w:r>
      <w:r>
        <w:rPr>
          <w:b w:val="0"/>
          <w:sz w:val="24"/>
        </w:rPr>
        <w:t>Evaluarea detaliată a performanței platformei software în condiții de sarcină realistă: analiza timpilor de răspuns per categorie de endpoint — interogări simple față de interogări cu asocieri multiple —, estimarea debitului orientativ și identificarea punctelor de degradare în scenarii de utilizare concurentă. Documentarea absențelor identificate ca principale pârghii de optimizare: absența stratului de cache și absența compresiei HTTP, cu evaluarea impactului estimat al introducerii lor asupra capacității platformei. Analiza metricilor componentei de inteligență artificială pentru detecția defectelor integrate în fluxul backend: latența inferenței pe server, debitul de procesare a imaginilor și comportamentul arhitecturii de servire pe mai multe niveluri sub sarcină.</w:t>
      </w:r>
    </w:p>
    <w:p>
      <w:pPr>
        <w:spacing w:before="120" w:after="120"/>
        <w:jc w:val="both"/>
      </w:pPr>
      <w:r>
        <w:rPr>
          <w:b/>
          <w:sz w:val="24"/>
        </w:rPr>
        <w:t xml:space="preserve">P3: </w:t>
      </w:r>
      <w:r>
        <w:rPr>
          <w:b w:val="0"/>
          <w:sz w:val="24"/>
        </w:rPr>
        <w:t>Documentarea recomandărilor de optimizare a platformei software pentru etapele următoare: implementarea unui strat de cache pentru interogările frecvente, activarea compresiei HTTP, calibrarea dimensiunii fondului de conexiuni și configurarea unui framework de benchmarking pentru validarea îmbunătățirilor. Contribuție la ajustările specificațiilor de echipamente privind infrastructura server necesară execuției accelerate a modelelor AI: evaluarea comparativă CPU multi-core față de GPU dedicat, cu referire la diferența de performanță documentată (8–15 FPS pe CPU față de 25–30 FPS cu accelerare TensorRT pe GPU). Validarea secțiunilor din raportul 1.4 referitoare la performanța platformei software și a componentei AI, asigurând consistența cu arhitectura documentată în subactivitatea 1.3.</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