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left"/>
      </w:pPr>
      <w:r>
        <w:rPr>
          <w:b/>
          <w:sz w:val="28"/>
        </w:rPr>
        <w:t>Expert în drone și realitate augmentată – Pavel Rosca</w:t>
      </w:r>
    </w:p>
    <w:p>
      <w:pPr>
        <w:spacing w:before="120" w:after="120"/>
        <w:jc w:val="both"/>
      </w:pPr>
      <w:r>
        <w:rPr>
          <w:b/>
          <w:sz w:val="24"/>
        </w:rPr>
        <w:t xml:space="preserve">P1: </w:t>
      </w:r>
      <w:r>
        <w:rPr>
          <w:b w:val="0"/>
          <w:sz w:val="24"/>
        </w:rPr>
        <w:t>Cercetarea soluțiilor de încărcare autonomă bazate pe energie solară pentru platforma aeriană, pornind de la arhitectura DJI Cloud API integrată în subactivitatea 1.3. Analiza specificațiilor tehnice ale stațiilor de andocare comerciale compatibile cu drona DJI Matrice — inclusiv mecanismele de aterizare autonomă, condițiile de operare și cerințele de alimentare ale stațiilor —, precum și evaluarea modului în care acestea se integrează cu platforma cloud privată on-premise implementată anterior. Analiza necesarului energetic al dronei: capacitatea acumulatorului, autonomia de zbor nominală și realistă, timpii de reîncărcare în mod rapid și impactul temperaturii asupra capacității efective a bateriei în sezonul rece.</w:t>
      </w:r>
    </w:p>
    <w:p>
      <w:pPr>
        <w:spacing w:before="120" w:after="120"/>
        <w:jc w:val="both"/>
      </w:pPr>
      <w:r>
        <w:rPr>
          <w:b/>
          <w:sz w:val="24"/>
        </w:rPr>
        <w:t xml:space="preserve">P2: </w:t>
      </w:r>
      <w:r>
        <w:rPr>
          <w:b w:val="0"/>
          <w:sz w:val="24"/>
        </w:rPr>
        <w:t>Evaluarea performanței subsistemului aerian în condiții meteorologice variate: analiza impactului vântului asupra consumului energetic și a stabilității zborului, cuantificarea reducerii autonomiei la temperaturi scăzute, identificarea pragurilor operaționale în condiții de precipitații sau rafale. Evaluarea performanței fluxurilor de comunicare ale platformei aeriene stabilite în subactivitatea 1.3: frecvența telemetriei MQTT, latența comenzilor de zbor și latența video end-to-end prin protocolul WebRTC în scenarii operaționale reprezentative. Documentarea scenariilor de încărcare solară aplicabile platformei aeriene: stație centrală unică față de stații distribuite pe suprafața parcului, cu evaluarea numărului de cicluri de reîncărcare necesare pe zi în funcție de intensitatea misiunilor.</w:t>
      </w:r>
    </w:p>
    <w:p>
      <w:pPr>
        <w:spacing w:before="120" w:after="120"/>
        <w:jc w:val="both"/>
      </w:pPr>
      <w:r>
        <w:rPr>
          <w:b/>
          <w:sz w:val="24"/>
        </w:rPr>
        <w:t xml:space="preserve">P3: </w:t>
      </w:r>
      <w:r>
        <w:rPr>
          <w:b w:val="0"/>
          <w:sz w:val="24"/>
        </w:rPr>
        <w:t>Documentarea rezultatelor cercetării privind autonomia energetică a dronei și a soluțiilor de andocare solară, cu concluzii privind fezabilitatea operării continue pe un parc fotovoltaic de 1 MW. Contribuție la ajustările specificațiilor de echipamente recomandate în raportul 1.4: evaluarea necesității achiziției unei stații de andocare dedicate, analiza numărului optim de puncte de andocare în funcție de suprafața parcului și de autonomia de zbor disponibilă, precum și evaluarea funcționalității de control direct la distanță (DRC) în raport cu scenariile de misiune autonomă. Validarea bilanțului energetic al platformei aeriene și a estimărilor privind ponderea consumului flotei în producția totală a parcului fotovoltaic.</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