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left"/>
      </w:pPr>
      <w:r>
        <w:rPr>
          <w:b/>
          <w:sz w:val="28"/>
        </w:rPr>
        <w:t>Expert în securitate cibernetică – Vlad Botis</w:t>
      </w:r>
    </w:p>
    <w:p>
      <w:pPr>
        <w:spacing w:before="120" w:after="120"/>
        <w:jc w:val="both"/>
      </w:pPr>
      <w:r>
        <w:rPr>
          <w:b/>
          <w:sz w:val="24"/>
        </w:rPr>
        <w:t xml:space="preserve">P1: </w:t>
      </w:r>
      <w:r>
        <w:rPr>
          <w:b w:val="0"/>
          <w:sz w:val="24"/>
        </w:rPr>
        <w:t>Evaluarea overhead-ului mecanismelor de securitate implementate în subactivitatea 1.3 asupra performanței generale a sistemului integrat. Analiza costului computațional al validării token-urilor JWT per cerere autentificată, al funcțiilor de derivare a parolelor — argon2id pe platforma software, bcrypt pe platforma aeriană — și al interogărilor de verificare a stării contului executate în middleware-ul de autentificare. Documentarea relației dintre măsurile de securitate deja implementate și bugetul de performanță disponibil per subsistem, cu scopul de a integra dimensiunea de securitate în modelul de evaluare a performanței din subactivitatea 1.4.</w:t>
      </w:r>
    </w:p>
    <w:p>
      <w:pPr>
        <w:spacing w:before="120" w:after="120"/>
        <w:jc w:val="both"/>
      </w:pPr>
      <w:r>
        <w:rPr>
          <w:b/>
          <w:sz w:val="24"/>
        </w:rPr>
        <w:t xml:space="preserve">P2: </w:t>
      </w:r>
      <w:r>
        <w:rPr>
          <w:b w:val="0"/>
          <w:sz w:val="24"/>
        </w:rPr>
        <w:t>Benchmarking-ul overhead-ului de securitate pe componentele platformei: evaluarea impactului middleware-ului de autentificare asupra timpilor de răspuns API, documentarea costului de procesare al validării datelor de intrare prin pipeline-ul global și al mecanismelor de logging structurat active. Analiza implicațiilor de performanță ale activării TLS pe canalele de comunicare identificate ca necriptate în auditul din subactivitatea 1.3 — HTTP, MQTT, WebSocket —: estimarea overhead-ului adăugat de handshake-ul TLS și de criptarea continuă a traficului operațional, cu referire la impactul estimat asupra latenței comenzilor de zbor și a frecvenței telemetriei. Evaluarea overhead-ului potențial al activării DDS Security pe robotul terestru și impactul său asupra frecvenței de procesare a norului de puncte LiDAR.</w:t>
      </w:r>
    </w:p>
    <w:p>
      <w:pPr>
        <w:spacing w:before="120" w:after="120"/>
        <w:jc w:val="both"/>
      </w:pPr>
      <w:r>
        <w:rPr>
          <w:b/>
          <w:sz w:val="24"/>
        </w:rPr>
        <w:t xml:space="preserve">P3: </w:t>
      </w:r>
      <w:r>
        <w:rPr>
          <w:b w:val="0"/>
          <w:sz w:val="24"/>
        </w:rPr>
        <w:t>Documentarea compromisurilor acceptabile dintre securitate și performanță pentru fiecare subsistem în parte: definirea nivelurilor de overhead tolerabile fără impact semnificativ asupra misiunilor de inspecție autonomă, cu referire la constrângerile de timp real ale robotului și la latența critică a comenzilor de zbor pentru dronă. Contribuție la ajustările specificațiilor de echipamente din perspectiva securității: evaluarea cerințelor de procesare pentru activarea criptării pe canalele operaționale și a necesității unui modul hardware dedicat funcțiilor criptografice pe platforma edge. Validarea secțiunilor din raportul 1.4 privind relația performanță–securitate și a recomandărilor de ajustare formulate în concluzii, asigurând coerența cu vulnerabilitățile documentate și cu măsurile de remediere propuse în subactivitatea anterioară.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