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zev"/>
        <w:spacing w:before="240" w:after="120"/>
        <w:rPr>
          <w:sz w:val="40"/>
          <w:szCs w:val="40"/>
        </w:rPr>
      </w:pPr>
      <w:r>
        <w:rPr>
          <w:b/>
          <w:bCs/>
          <w:sz w:val="40"/>
          <w:szCs w:val="40"/>
        </w:rPr>
        <w:t>K</w:t>
      </w:r>
      <w:r>
        <w:rPr>
          <w:b/>
          <w:bCs/>
          <w:sz w:val="40"/>
          <w:szCs w:val="40"/>
        </w:rPr>
        <w:t>ritika návrhů na zveřejňování smluv v Praze ze strany Pirátů</w:t>
      </w:r>
    </w:p>
    <w:p>
      <w:pPr>
        <w:pStyle w:val="Nadpis2"/>
        <w:numPr>
          <w:ilvl w:val="1"/>
          <w:numId w:val="1"/>
        </w:numPr>
        <w:rPr/>
      </w:pPr>
      <w:r>
        <w:rPr>
          <w:b/>
          <w:bCs/>
        </w:rPr>
        <w:t>Tisk R-19858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ukládá informatice zajistit uživatelsky přívětivější vyhledávání do konce roku</w:t>
      </w:r>
    </w:p>
    <w:p>
      <w:pPr>
        <w:pStyle w:val="Normal"/>
        <w:numPr>
          <w:ilvl w:val="1"/>
          <w:numId w:val="2"/>
        </w:numPr>
        <w:rPr/>
      </w:pPr>
      <w:r>
        <w:rPr/>
        <w:t>co to znamená? není specifikováno + prodloužit termín do 1.6.2016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ukládá informatice připravit technické řešení pro zveřejňování smluv příspěvkových organizací na portálu prahy do konce roku</w:t>
      </w:r>
    </w:p>
    <w:p>
      <w:pPr>
        <w:pStyle w:val="Normal"/>
        <w:numPr>
          <w:ilvl w:val="1"/>
          <w:numId w:val="2"/>
        </w:numPr>
        <w:rPr/>
      </w:pPr>
      <w:r>
        <w:rPr/>
        <w:t>doufejme, že to neznamená zavedení GINISu do příspěvkových organizací - lepší alternativou je vysoutěžit nový otevřený systém, který příspěvkovým organizacím postačí; zároveň nevíme, zda některé příspěvkové organizace nepoužívají již v současnosti systém, který by zveřejňování smluv umožňoval (např. na centrálním registru Ministerstva vnitra)</w:t>
      </w:r>
    </w:p>
    <w:p>
      <w:pPr>
        <w:pStyle w:val="Normal"/>
        <w:numPr>
          <w:ilvl w:val="1"/>
          <w:numId w:val="2"/>
        </w:numPr>
        <w:rPr/>
      </w:pPr>
      <w:r>
        <w:rPr/>
        <w:t>prodloužit termín alespoň do 1.6.2016.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ukládá odborům zapracovat povinnost zveřejňování smluv do zřizovacích listin do konce prosince</w:t>
      </w:r>
    </w:p>
    <w:p>
      <w:pPr>
        <w:pStyle w:val="Normal"/>
        <w:numPr>
          <w:ilvl w:val="1"/>
          <w:numId w:val="2"/>
        </w:numPr>
        <w:rPr/>
      </w:pPr>
      <w:r>
        <w:rPr/>
        <w:t>pokud je to myšleno tak, že se do zřizovacích listin dá obecné ustanovení ve smyslu „Organizace zveřejňuje smlouvy, faktury, objednávky a jiné dokumenty v souladu s pravidly zřizovatele pro zveřejňování těchto dokumentů příspěvkovými organizacemi“, pak je to v pořádku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Příloha č.1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nejsou řešena metadata! Smlouvy je potřeba zveřejňovat spolu se základními informacemi o nich (druhá smluvní strana, výše plnění, datum uzavření atd.) - v pražské evidenci smluv např. nejsou správně uváděny výše plnění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není řešeno zveřejňování faktur a dalších údajů o plnění smlouvy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„</w:t>
      </w:r>
      <w:r>
        <w:rPr>
          <w:i/>
          <w:iCs/>
        </w:rPr>
        <w:t>V souladu s čl. 2 odst. 8 Nařízení ředitele MHMP č. 3/2014 se smlouvy opatřují doložkou atd.“</w:t>
      </w:r>
    </w:p>
    <w:p>
      <w:pPr>
        <w:pStyle w:val="Normal"/>
        <w:numPr>
          <w:ilvl w:val="1"/>
          <w:numId w:val="2"/>
        </w:numPr>
        <w:rPr/>
      </w:pPr>
      <w:r>
        <w:rPr/>
        <w:t>nesouvisí, ale jestli jsou pro to důvody, tak nevadí</w:t>
      </w:r>
    </w:p>
    <w:p>
      <w:pPr>
        <w:pStyle w:val="Normal"/>
        <w:numPr>
          <w:ilvl w:val="0"/>
          <w:numId w:val="2"/>
        </w:numPr>
        <w:rPr/>
      </w:pPr>
      <w:r>
        <w:rPr/>
        <w:t>Všechny smlouvy jsou zveřejňovány ve strojově čitelném FORMÁTU, nikoliv kódu (</w:t>
      </w:r>
      <w:r>
        <w:rPr/>
        <w:t>viz § 3 odst. 7 zákona o svobodném přístupu k informacím</w:t>
      </w:r>
      <w:r>
        <w:rPr/>
        <w:t>)</w:t>
      </w:r>
    </w:p>
    <w:p>
      <w:pPr>
        <w:pStyle w:val="Normal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Zveřejněny nemohou být: -&gt; Podle tohoto usnesení se nezveřejňují: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 xml:space="preserve">b) smlouvy, u nichž smluvní partner důvodně a prokazatelně chrání obchodní tajemství ve </w:t>
        <w:tab/>
        <w:t xml:space="preserve">smyslu § 504 zákona č. 89/2012 Sb., občanský zákoník, ve znění pozdějších předpisů, či </w:t>
        <w:tab/>
        <w:t>bankovní tajemství,</w:t>
      </w:r>
    </w:p>
    <w:p>
      <w:pPr>
        <w:pStyle w:val="Normal"/>
        <w:numPr>
          <w:ilvl w:val="1"/>
          <w:numId w:val="3"/>
        </w:numPr>
        <w:rPr/>
      </w:pPr>
      <w:r>
        <w:rPr/>
        <w:t>velmi nebezpečné, měly by být zveřejňovány všechny smlouvy a pouze nezveřejňovat části s obchodním tajemstvím (stejně jako v případě InfZ); přesunout do bodu 4 a formulovat obdobně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 xml:space="preserve">c) smlouvy, u nichž smluvní partner důvodně a prokazatelně chrání autorská práva ve </w:t>
        <w:tab/>
        <w:t xml:space="preserve">smyslu zák. č. 121/2000 Sb., o právu autorském, o právech souvisejících s právem </w:t>
        <w:tab/>
        <w:t>autorským a o změně některých zákonů (autorský zákon), ve znění pozdějších předpisů,</w:t>
      </w:r>
    </w:p>
    <w:p>
      <w:pPr>
        <w:pStyle w:val="Normal"/>
        <w:numPr>
          <w:ilvl w:val="1"/>
          <w:numId w:val="4"/>
        </w:numPr>
        <w:rPr/>
      </w:pPr>
      <w:r>
        <w:rPr/>
        <w:t>viz b), do bodu 4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d) smlouvy, obsahující sankci za zveřejnění jejich obsahu.</w:t>
      </w:r>
    </w:p>
    <w:p>
      <w:pPr>
        <w:pStyle w:val="Normal"/>
        <w:numPr>
          <w:ilvl w:val="1"/>
          <w:numId w:val="5"/>
        </w:numPr>
        <w:rPr/>
      </w:pPr>
      <w:r>
        <w:rPr/>
        <w:t>to je naprosto absurdní, město jednoduše nesmí uzavírat smlouvy, kde taková sankce je - dle InfZ není existence sankce za zveřejnění důvod pro neposkytnutí smlouvy</w:t>
      </w:r>
    </w:p>
    <w:p>
      <w:pPr>
        <w:pStyle w:val="Normal"/>
        <w:numPr>
          <w:ilvl w:val="0"/>
          <w:numId w:val="5"/>
        </w:numPr>
        <w:rPr/>
      </w:pPr>
      <w:r>
        <w:rPr/>
        <w:t>lze formulovat obecně: nezveřejňují se informace, které nelze poskytnout při postupu podle předpisů upravujících svobodný přístup k informacím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Příloha č. 2</w:t>
      </w:r>
    </w:p>
    <w:p>
      <w:pPr>
        <w:pStyle w:val="Normal"/>
        <w:numPr>
          <w:ilvl w:val="0"/>
          <w:numId w:val="7"/>
        </w:numPr>
        <w:rPr/>
      </w:pPr>
      <w:r>
        <w:rPr/>
        <w:t>viz též připomínky k příloze č.1</w:t>
      </w:r>
    </w:p>
    <w:p>
      <w:pPr>
        <w:pStyle w:val="Normal"/>
        <w:numPr>
          <w:ilvl w:val="0"/>
          <w:numId w:val="7"/>
        </w:numPr>
        <w:rPr/>
      </w:pPr>
      <w:r>
        <w:rPr/>
        <w:t>chybí doložka o zveřejnění</w:t>
      </w:r>
    </w:p>
    <w:p>
      <w:pPr>
        <w:pStyle w:val="Normal"/>
        <w:numPr>
          <w:ilvl w:val="0"/>
          <w:numId w:val="7"/>
        </w:numPr>
        <w:rPr/>
      </w:pPr>
      <w:r>
        <w:rPr/>
        <w:t>nejsou řešeny smlouvy v rámci podnikatelské činnosti se spotřebiteli; např. ze zákona o registru smluv:</w:t>
      </w:r>
    </w:p>
    <w:p>
      <w:pPr>
        <w:pStyle w:val="Normal"/>
        <w:rPr/>
      </w:pPr>
      <w:r>
        <w:rPr>
          <w:i/>
          <w:iCs/>
        </w:rPr>
        <w:tab/>
        <w:t xml:space="preserve">není potřeba zveřejňovat: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 xml:space="preserve">a) smlouvu vzniklou v rámci právního jednání s fyzickou osobou, která jedná mimo rámec </w:t>
        <w:tab/>
        <w:t xml:space="preserve">své podnikatelské činnosti; to neplatí, jde-li o převod vlastnického práva osoby uvedené v § </w:t>
        <w:tab/>
        <w:t>2 odst. 1 k hmotné nemovité věci,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 xml:space="preserve">b) smlouvu uzavřenou adhezním způsobem, s výjimkou smluv uzavřených na základě </w:t>
        <w:tab/>
        <w:t>zadávacího řízení podle zákona o veřejných zakázkách,</w:t>
      </w:r>
    </w:p>
    <w:p>
      <w:pPr>
        <w:pStyle w:val="Normal"/>
        <w:numPr>
          <w:ilvl w:val="0"/>
          <w:numId w:val="8"/>
        </w:numPr>
        <w:rPr/>
      </w:pPr>
      <w:r>
        <w:rPr/>
        <w:t>smlouvy nad 50 000 Kč - nedostatečné (co třeba barterové smlouvy?) lepší řešení: + smlouvy, kde není jasná výše plnění</w:t>
      </w:r>
    </w:p>
    <w:p>
      <w:pPr>
        <w:pStyle w:val="Normal"/>
        <w:numPr>
          <w:ilvl w:val="0"/>
          <w:numId w:val="8"/>
        </w:numPr>
        <w:rPr/>
      </w:pPr>
      <w:r>
        <w:rPr/>
        <w:t>není vůbec řešeno postupné zavádění a technické možnosti jednotlivých organizací (logicky větší organizace mají lepší aparát na to, aby smlouvy mohly zveřejňovat již dnes, navíc je u nich vyšší veřejný zájem na zveřejňování, protože v nich jde o více peněz)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Náš návrh rozdělení příspěvkových organizací do dvou kategorií pro zveřejňování smluv:</w:t>
      </w:r>
    </w:p>
    <w:p>
      <w:pPr>
        <w:pStyle w:val="Normal"/>
        <w:rPr/>
      </w:pPr>
      <w:r>
        <w:rPr/>
        <w:t>S termínem zavedení od 1. 6. 2016</w:t>
      </w:r>
    </w:p>
    <w:p>
      <w:pPr>
        <w:pStyle w:val="Normal"/>
        <w:rPr/>
      </w:pPr>
      <w:r>
        <w:rPr/>
        <w:t>Technická správa komunikací hlavního města Prahy</w:t>
      </w:r>
    </w:p>
    <w:p>
      <w:pPr>
        <w:pStyle w:val="Normal"/>
        <w:rPr/>
      </w:pPr>
      <w:r>
        <w:rPr/>
        <w:t>Institut plánování a rozvoje hlavního města Prahy</w:t>
      </w:r>
    </w:p>
    <w:p>
      <w:pPr>
        <w:pStyle w:val="Normal"/>
        <w:rPr/>
      </w:pPr>
      <w:r>
        <w:rPr/>
        <w:t>Regionální organizátor pražské integrované dopravy (ROPID)</w:t>
      </w:r>
    </w:p>
    <w:p>
      <w:pPr>
        <w:pStyle w:val="Normal"/>
        <w:rPr/>
      </w:pPr>
      <w:r>
        <w:rPr/>
        <w:t>Správa pražských hřbitovů</w:t>
      </w:r>
    </w:p>
    <w:p>
      <w:pPr>
        <w:pStyle w:val="Normal"/>
        <w:rPr/>
      </w:pPr>
      <w:r>
        <w:rPr/>
        <w:t>Pohřební ústav hlavního města Prahy</w:t>
      </w:r>
    </w:p>
    <w:p>
      <w:pPr>
        <w:pStyle w:val="Normal"/>
        <w:rPr/>
      </w:pPr>
      <w:r>
        <w:rPr/>
        <w:t>Správa služeb hlavního města Prahy</w:t>
      </w:r>
    </w:p>
    <w:p>
      <w:pPr>
        <w:pStyle w:val="Normal"/>
        <w:rPr/>
      </w:pPr>
      <w:r>
        <w:rPr/>
        <w:t>Zdravotnická záchranná služba hlavního města Prahy</w:t>
      </w:r>
    </w:p>
    <w:p>
      <w:pPr>
        <w:pStyle w:val="Normal"/>
        <w:rPr/>
      </w:pPr>
      <w:r>
        <w:rPr/>
        <w:t>Městská nemocnice následné péče</w:t>
      </w:r>
    </w:p>
    <w:p>
      <w:pPr>
        <w:pStyle w:val="Normal"/>
        <w:rPr/>
      </w:pPr>
      <w:r>
        <w:rPr/>
        <w:t>Městská poliklinika Praha</w:t>
      </w:r>
    </w:p>
    <w:p>
      <w:pPr>
        <w:pStyle w:val="Normal"/>
        <w:rPr/>
      </w:pPr>
      <w:r>
        <w:rPr/>
        <w:t>Centrum sociálních služeb Praha</w:t>
      </w:r>
    </w:p>
    <w:p>
      <w:pPr>
        <w:pStyle w:val="Normal"/>
        <w:rPr/>
      </w:pPr>
      <w:r>
        <w:rPr/>
        <w:t>Lesy hl. m. Prahy</w:t>
      </w:r>
    </w:p>
    <w:p>
      <w:pPr>
        <w:pStyle w:val="Normal"/>
        <w:rPr/>
      </w:pPr>
      <w:r>
        <w:rPr/>
        <w:t>Botanická zahrada Praha</w:t>
      </w:r>
    </w:p>
    <w:p>
      <w:pPr>
        <w:pStyle w:val="Normal"/>
        <w:rPr/>
      </w:pPr>
      <w:r>
        <w:rPr/>
        <w:t>Zoologická zahrada Praha</w:t>
      </w:r>
    </w:p>
    <w:p>
      <w:pPr>
        <w:pStyle w:val="Normal"/>
        <w:rPr/>
      </w:pPr>
      <w:r>
        <w:rPr/>
        <w:t>Pražská informační služba</w:t>
      </w:r>
    </w:p>
    <w:p>
      <w:pPr>
        <w:pStyle w:val="Normal"/>
        <w:rPr/>
      </w:pPr>
      <w:r>
        <w:rPr/>
        <w:t>Městská knihovna v Praze</w:t>
      </w:r>
    </w:p>
    <w:p>
      <w:pPr>
        <w:pStyle w:val="Normal"/>
        <w:rPr/>
      </w:pPr>
      <w:r>
        <w:rPr/>
        <w:t>Národní kulturní památka Vyšehrad</w:t>
      </w:r>
    </w:p>
    <w:p>
      <w:pPr>
        <w:pStyle w:val="Normal"/>
        <w:rPr/>
      </w:pPr>
      <w:r>
        <w:rPr/>
        <w:t>Muzeum hlavního města Prahy</w:t>
      </w:r>
    </w:p>
    <w:p>
      <w:pPr>
        <w:pStyle w:val="Normal"/>
        <w:rPr/>
      </w:pPr>
      <w:r>
        <w:rPr/>
        <w:t>Galerie hlavního města Prahy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 termínem zavedení od 1. 6. 2017</w:t>
      </w:r>
    </w:p>
    <w:p>
      <w:pPr>
        <w:pStyle w:val="Normal"/>
        <w:rPr/>
      </w:pPr>
      <w:r>
        <w:rPr/>
        <w:t>ostatní příspěvkové organizace a řízené obecně prospěšné společnosti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Příloha č. 3</w:t>
      </w:r>
    </w:p>
    <w:p>
      <w:pPr>
        <w:pStyle w:val="Normal"/>
        <w:numPr>
          <w:ilvl w:val="0"/>
          <w:numId w:val="9"/>
        </w:numPr>
        <w:rPr/>
      </w:pPr>
      <w:r>
        <w:rPr/>
        <w:t>připomínky obdobné jako u přílohy č.2</w:t>
      </w:r>
    </w:p>
    <w:p>
      <w:pPr>
        <w:pStyle w:val="Normal"/>
        <w:numPr>
          <w:ilvl w:val="0"/>
          <w:numId w:val="9"/>
        </w:numPr>
        <w:rPr/>
      </w:pPr>
      <w:r>
        <w:rPr/>
        <w:t>je potřeba ochránit i obchodní tajemství našich obchodních společností – řešení viz poslední připomínka k příloze č.1</w:t>
      </w:r>
    </w:p>
    <w:p>
      <w:pPr>
        <w:pStyle w:val="Normal"/>
        <w:numPr>
          <w:ilvl w:val="1"/>
          <w:numId w:val="9"/>
        </w:numPr>
        <w:rPr/>
      </w:pPr>
      <w:r>
        <w:rPr/>
        <w:t>+ pravidlo ze zákona o registru smluv, že „Z uveřejnění lze vyloučit metadata uvedená v odstavci 5 písm. a) nebo c) (tj. identifikaci smluvních stran a cenu), jsou-li tato metadata obchodním tajemstvím obchodní společnosti, a to také tehdy, pokud by obchodním tajemstvím bylo až více takto uveřejněných informací zároveň.</w:t>
      </w:r>
    </w:p>
    <w:p>
      <w:pPr>
        <w:pStyle w:val="Normal"/>
        <w:rPr/>
      </w:pPr>
      <w:r>
        <w:rPr/>
      </w:r>
    </w:p>
    <w:p>
      <w:pPr>
        <w:pStyle w:val="Nadpis2"/>
        <w:numPr>
          <w:ilvl w:val="1"/>
          <w:numId w:val="1"/>
        </w:numPr>
        <w:rPr/>
      </w:pPr>
      <w:r>
        <w:rPr/>
        <w:t>Tisk R-19883</w:t>
      </w:r>
    </w:p>
    <w:p>
      <w:pPr>
        <w:pStyle w:val="Normal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ukládá představenstvům obchodních společností se 100% majetkovým podílem hlavního města Prahy atd.</w:t>
      </w:r>
    </w:p>
    <w:p>
      <w:pPr>
        <w:pStyle w:val="Normal"/>
        <w:numPr>
          <w:ilvl w:val="1"/>
          <w:numId w:val="6"/>
        </w:numPr>
        <w:rPr/>
      </w:pPr>
      <w:r>
        <w:rPr/>
        <w:t>za vhodnější považujeme upravit v zakládacích listinách či stanovách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cs-CZ" w:eastAsia="zh-CN" w:bidi="hi-IN"/>
    </w:rPr>
  </w:style>
  <w:style w:type="paragraph" w:styleId="Nadpis1">
    <w:name w:val="Nadpis 1"/>
    <w:basedOn w:val="Nadpis"/>
    <w:next w:val="Tlotextu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Nadpis2">
    <w:name w:val="Nadpis 2"/>
    <w:basedOn w:val="Nadpis"/>
    <w:next w:val="Tlotextu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next w:val="Tlotextu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ymbolyproslovn">
    <w:name w:val="Symboly pro číslování"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Ari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Nzev">
    <w:name w:val="Název"/>
    <w:basedOn w:val="Nadpis"/>
    <w:next w:val="Tlotextu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next w:val="Tlotextu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3167</TotalTime>
  <Application>LibreOffice/4.4.2.2$Windows_x86 LibreOffice_project/c4c7d32d0d49397cad38d62472b0bc8acff48dd6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2015-11-24T15:21:17Z</dcterms:created>
  <dc:language>cs-CZ</dc:language>
  <dcterms:modified xsi:type="dcterms:W3CDTF">2015-11-24T16:15:04Z</dcterms:modified>
  <cp:revision>16</cp:revision>
</cp:coreProperties>
</file>