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za měsíc </w:t>
      </w:r>
      <w:r>
        <w:rPr>
          <w:b/>
          <w:bCs/>
          <w:sz w:val="28"/>
          <w:szCs w:val="28"/>
        </w:rPr>
        <w:t>únor 2015</w:t>
      </w:r>
      <w:r/>
    </w:p>
    <w:tbl>
      <w:tblPr>
        <w:tblW w:w="9302" w:type="dxa"/>
        <w:jc w:val="left"/>
        <w:tblInd w:w="-6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8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tbl>
      <w:tblPr>
        <w:tblW w:w="9302" w:type="dxa"/>
        <w:jc w:val="left"/>
        <w:tblInd w:w="-63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38" w:type="dxa"/>
          <w:bottom w:w="0" w:type="dxa"/>
          <w:right w:w="70" w:type="dxa"/>
        </w:tblCellMar>
      </w:tblPr>
      <w:tblGrid>
        <w:gridCol w:w="2478"/>
        <w:gridCol w:w="1313"/>
        <w:gridCol w:w="1377"/>
        <w:gridCol w:w="1292"/>
        <w:gridCol w:w="1122"/>
        <w:gridCol w:w="1719"/>
      </w:tblGrid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2414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78" w:type="dxa"/>
            <w:tcBorders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3" w:type="dxa"/>
            <w:tcBorders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1719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19. 2.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17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17</w:t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11. 2.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16. 2.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17. 2.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2.5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2.5</w:t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bezpečnost,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správu majetku,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</w:t>
            </w: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ýbor pro životní prostředí</w:t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4. 2.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</w:t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Komise ICT</w:t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38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18.5</w:t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>
          <w:trHeight w:val="305" w:hRule="atLeast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3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59.5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40</w:t>
            </w:r>
            <w:r/>
          </w:p>
        </w:tc>
        <w:tc>
          <w:tcPr>
            <w:tcW w:w="1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2"/>
          <w:szCs w:val="22"/>
        </w:rPr>
        <w:t>Datum:</w:t>
        <w:tab/>
      </w:r>
      <w:r>
        <w:rPr>
          <w:sz w:val="22"/>
          <w:szCs w:val="22"/>
        </w:rPr>
        <w:t>9.</w:t>
      </w: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>3</w:t>
      </w:r>
      <w:r>
        <w:rPr>
          <w:sz w:val="22"/>
          <w:szCs w:val="22"/>
        </w:rPr>
        <w:t>. 2015</w:t>
        <w:tab/>
        <w:tab/>
        <w:tab/>
        <w:tab/>
        <w:tab/>
        <w:t xml:space="preserve">Podpis:  </w:t>
        <w:tab/>
        <w:t>Ondřej Profant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>
        <w:br w:type="page"/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  <w:u w:val="single"/>
        </w:rPr>
        <w:t>Příloha k výčetce pro výpočet výdělku ušlého v souvislosti s výkonem funkce neuvolněného člena Zastupitelstva hlavního města Prahy za měsíc prosinec 2014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4"/>
          <w:szCs w:val="24"/>
        </w:rPr>
        <w:t xml:space="preserve">V Praze dne  </w:t>
      </w:r>
      <w:r>
        <w:rPr>
          <w:sz w:val="24"/>
          <w:szCs w:val="24"/>
        </w:rPr>
        <w:t>9</w:t>
      </w:r>
      <w:r>
        <w:rPr>
          <w:sz w:val="24"/>
          <w:szCs w:val="24"/>
        </w:rPr>
        <w:t>. 0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2015 </w:t>
        <w:tab/>
        <w:tab/>
        <w:tab/>
        <w:t xml:space="preserve">Jméno a příjmení:   </w:t>
        <w:tab/>
        <w:t>Ondřej Profant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  <w:r/>
    </w:p>
    <w:p>
      <w:pPr>
        <w:pStyle w:val="Normal"/>
        <w:jc w:val="both"/>
      </w:pPr>
      <w:r>
        <w:rPr>
          <w:sz w:val="24"/>
          <w:szCs w:val="24"/>
        </w:rPr>
        <w:t>3. Pověření k jednání primátorkou hl. m. Prahy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paragraph" w:styleId="Nadpis">
    <w:name w:val="Nadpis"/>
    <w:basedOn w:val="Normal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extBody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991929</TotalTime>
  <Application>LibreOffice/4.3.6.2$Linux_X86_64 LibreOffice_project/430$Build-2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2015-03-07T23:49:44Z</dcterms:modified>
  <cp:revision>10</cp:revision>
  <dc:title>Zásady</dc:title>
</cp:coreProperties>
</file>