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 měsíc únor 2015</w:t>
      </w:r>
    </w:p>
    <w:tbl>
      <w:tblPr>
        <w:jc w:val="left"/>
        <w:tblInd w:w="-8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4" w:type="dxa"/>
          <w:bottom w:w="0" w:type="dxa"/>
          <w:right w:w="70" w:type="dxa"/>
        </w:tblCellMar>
      </w:tblPr>
      <w:tblGrid>
        <w:gridCol w:w="9302"/>
      </w:tblGrid>
      <w:tr>
        <w:trPr>
          <w:cantSplit w:val="false"/>
        </w:trPr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</w:p>
          <w:p>
            <w:pPr>
              <w:pStyle w:val="Normal"/>
              <w:jc w:val="both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tbl>
      <w:tblPr>
        <w:jc w:val="left"/>
        <w:tblInd w:w="-85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14" w:type="dxa"/>
          <w:bottom w:w="0" w:type="dxa"/>
          <w:right w:w="70" w:type="dxa"/>
        </w:tblCellMar>
      </w:tblPr>
      <w:tblGrid>
        <w:gridCol w:w="2476"/>
        <w:gridCol w:w="1311"/>
        <w:gridCol w:w="1376"/>
        <w:gridCol w:w="1292"/>
        <w:gridCol w:w="1121"/>
        <w:gridCol w:w="1723"/>
      </w:tblGrid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w="2413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w="1723" w:type="dxa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upravit dle zápisu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bezpečnost,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majetku,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životní prostředí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Komise ICT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18. 3. 2015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10:00 – 15:40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5,6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5,6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Workshop k OpenData od Otakara Motejla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31. 3. 2015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17. 3. 2015</w:t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 – 16:15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15:00 – 16:00 </w:t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2,2</w:t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Jednání subkomise ICT pro řízení a strategii</w:t>
            </w:r>
          </w:p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Schůzka s V. Láskou ohledně minulosti k OC</w:t>
            </w:r>
          </w:p>
        </w:tc>
      </w:tr>
      <w:tr>
        <w:trPr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24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w="13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8,8</w:t>
            </w:r>
          </w:p>
        </w:tc>
        <w:tc>
          <w:tcPr>
            <w:tcW w:w="11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8,8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</w:p>
        </w:tc>
      </w:tr>
    </w:tbl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23</w:t>
      </w:r>
      <w:r>
        <w:rPr>
          <w:sz w:val="22"/>
          <w:szCs w:val="22"/>
        </w:rPr>
        <w:t>. 04. 2015</w:t>
        <w:tab/>
        <w:tab/>
        <w:tab/>
        <w:tab/>
        <w:tab/>
        <w:t xml:space="preserve">Podpis: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pageBreakBefore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únor 2015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Praze dne  </w:t>
      </w:r>
      <w:r>
        <w:rPr>
          <w:sz w:val="24"/>
          <w:szCs w:val="24"/>
        </w:rPr>
        <w:t>23</w:t>
      </w:r>
      <w:r>
        <w:rPr>
          <w:sz w:val="24"/>
          <w:szCs w:val="24"/>
        </w:rPr>
        <w:t xml:space="preserve">. 04. 2015 </w:t>
        <w:tab/>
        <w:tab/>
        <w:tab/>
        <w:t xml:space="preserve">Jméno a příjmení:   </w:t>
        <w:tab/>
        <w:t>Ondřej Profant</w:t>
      </w:r>
    </w:p>
    <w:p>
      <w:pPr>
        <w:pStyle w:val="Normal"/>
        <w:jc w:val="both"/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</w:p>
    <w:p>
      <w:pPr>
        <w:pStyle w:val="Normal"/>
        <w:jc w:val="both"/>
        <w:rPr>
          <w:sz w:val="24"/>
          <w:szCs w:val="24"/>
        </w:rPr>
      </w:pPr>
      <w:bookmarkStart w:id="0" w:name="__DdeLink__475_1488952002"/>
      <w:bookmarkEnd w:id="0"/>
      <w:r>
        <w:rPr>
          <w:sz w:val="24"/>
          <w:szCs w:val="24"/>
        </w:rPr>
        <w:t>3. Pověření k jednání primátorkou hl. m. Prahy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FreeSans"/>
      <w:color w:val="00000A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Ondřej Profant</cp:lastModifiedBy>
  <cp:lastPrinted>2005-05-26T17:19:00Z</cp:lastPrinted>
  <dcterms:modified xsi:type="dcterms:W3CDTF">2015-03-07T23:49:44Z</dcterms:modified>
  <cp:revision>10</cp:revision>
  <dc:title>Zásady</dc:title>
</cp:coreProperties>
</file>