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3C9" w:rsidRPr="0016727E" w:rsidRDefault="0016727E" w:rsidP="00342705">
      <w:r w:rsidRPr="00342705">
        <w:rPr>
          <w:noProof/>
          <w:lang w:eastAsia="en-GB"/>
        </w:rPr>
        <w:drawing>
          <wp:anchor distT="0" distB="0" distL="114300" distR="114300" simplePos="0" relativeHeight="251659264" behindDoc="0" locked="0" layoutInCell="1" allowOverlap="1" wp14:anchorId="4EAD15DC" wp14:editId="612C77DB">
            <wp:simplePos x="0" y="0"/>
            <wp:positionH relativeFrom="column">
              <wp:posOffset>-95758</wp:posOffset>
            </wp:positionH>
            <wp:positionV relativeFrom="paragraph">
              <wp:posOffset>-127762</wp:posOffset>
            </wp:positionV>
            <wp:extent cx="1388814" cy="687629"/>
            <wp:effectExtent l="0" t="0" r="1905" b="0"/>
            <wp:wrapNone/>
            <wp:docPr id="5" name="Picture 5" descr="Jaspers_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spers_Logo 2"/>
                    <pic:cNvPicPr>
                      <a:picLocks noChangeAspect="1" noChangeArrowheads="1"/>
                    </pic:cNvPicPr>
                  </pic:nvPicPr>
                  <pic:blipFill>
                    <a:blip r:embed="rId9" cstate="print">
                      <a:lum contrast="30000"/>
                      <a:extLst>
                        <a:ext uri="{28A0092B-C50C-407E-A947-70E740481C1C}">
                          <a14:useLocalDpi xmlns:a14="http://schemas.microsoft.com/office/drawing/2010/main" val="0"/>
                        </a:ext>
                      </a:extLst>
                    </a:blip>
                    <a:srcRect/>
                    <a:stretch>
                      <a:fillRect/>
                    </a:stretch>
                  </pic:blipFill>
                  <pic:spPr bwMode="auto">
                    <a:xfrm>
                      <a:off x="0" y="0"/>
                      <a:ext cx="1393270" cy="68983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9214" w:type="dxa"/>
        <w:tblInd w:w="-86" w:type="dxa"/>
        <w:tblLayout w:type="fixed"/>
        <w:tblCellMar>
          <w:left w:w="56" w:type="dxa"/>
          <w:right w:w="56" w:type="dxa"/>
        </w:tblCellMar>
        <w:tblLook w:val="0000" w:firstRow="0" w:lastRow="0" w:firstColumn="0" w:lastColumn="0" w:noHBand="0" w:noVBand="0"/>
      </w:tblPr>
      <w:tblGrid>
        <w:gridCol w:w="2182"/>
        <w:gridCol w:w="7032"/>
      </w:tblGrid>
      <w:tr w:rsidR="007A6463" w:rsidRPr="0016727E" w:rsidTr="00342705">
        <w:trPr>
          <w:cantSplit/>
        </w:trPr>
        <w:tc>
          <w:tcPr>
            <w:tcW w:w="9214" w:type="dxa"/>
            <w:gridSpan w:val="2"/>
          </w:tcPr>
          <w:p w:rsidR="0016727E" w:rsidRPr="00342705" w:rsidRDefault="0016727E" w:rsidP="00342705">
            <w:pPr>
              <w:pStyle w:val="Footer"/>
              <w:tabs>
                <w:tab w:val="clear" w:pos="4153"/>
                <w:tab w:val="clear" w:pos="8306"/>
              </w:tabs>
              <w:spacing w:line="240" w:lineRule="atLeast"/>
              <w:ind w:right="-56"/>
              <w:jc w:val="right"/>
              <w:rPr>
                <w:lang w:val="en-GB"/>
              </w:rPr>
            </w:pPr>
            <w:r w:rsidRPr="00342705">
              <w:rPr>
                <w:lang w:val="en-GB"/>
              </w:rPr>
              <w:t xml:space="preserve">Vienna, 23 February 2015 </w:t>
            </w:r>
          </w:p>
          <w:p w:rsidR="007A6463" w:rsidRPr="0016727E" w:rsidRDefault="00D772B4" w:rsidP="00342705">
            <w:pPr>
              <w:pStyle w:val="Footer"/>
              <w:tabs>
                <w:tab w:val="clear" w:pos="4153"/>
                <w:tab w:val="clear" w:pos="8306"/>
              </w:tabs>
              <w:spacing w:line="240" w:lineRule="atLeast"/>
              <w:ind w:right="-56"/>
              <w:jc w:val="right"/>
              <w:rPr>
                <w:smallCaps/>
                <w:lang w:val="en-GB"/>
              </w:rPr>
            </w:pPr>
            <w:r w:rsidRPr="0016727E">
              <w:rPr>
                <w:smallCaps/>
                <w:lang w:val="en-GB"/>
              </w:rPr>
              <w:t>SG/</w:t>
            </w:r>
            <w:r w:rsidR="006F43C9" w:rsidRPr="0016727E">
              <w:rPr>
                <w:smallCaps/>
                <w:lang w:val="en-GB"/>
              </w:rPr>
              <w:t>JASPER</w:t>
            </w:r>
            <w:r w:rsidRPr="0016727E">
              <w:rPr>
                <w:smallCaps/>
                <w:lang w:val="en-GB"/>
              </w:rPr>
              <w:t>S</w:t>
            </w:r>
            <w:r w:rsidR="006F43C9" w:rsidRPr="0016727E">
              <w:rPr>
                <w:smallCaps/>
                <w:lang w:val="en-GB"/>
              </w:rPr>
              <w:t>/201</w:t>
            </w:r>
            <w:r w:rsidR="001B550A" w:rsidRPr="0016727E">
              <w:rPr>
                <w:smallCaps/>
                <w:lang w:val="en-GB"/>
              </w:rPr>
              <w:t>5</w:t>
            </w:r>
            <w:r w:rsidRPr="0016727E">
              <w:rPr>
                <w:smallCaps/>
                <w:lang w:val="en-GB"/>
              </w:rPr>
              <w:t>-</w:t>
            </w:r>
            <w:r w:rsidR="0016727E">
              <w:rPr>
                <w:smallCaps/>
                <w:lang w:val="en-GB"/>
              </w:rPr>
              <w:t>172</w:t>
            </w:r>
            <w:r w:rsidRPr="0016727E">
              <w:rPr>
                <w:smallCaps/>
                <w:lang w:val="en-GB"/>
              </w:rPr>
              <w:t>/DT/kk</w:t>
            </w:r>
          </w:p>
        </w:tc>
      </w:tr>
      <w:tr w:rsidR="007A6463" w:rsidRPr="0016727E" w:rsidTr="00342705">
        <w:trPr>
          <w:cantSplit/>
        </w:trPr>
        <w:tc>
          <w:tcPr>
            <w:tcW w:w="2182" w:type="dxa"/>
          </w:tcPr>
          <w:p w:rsidR="006F43C9" w:rsidRPr="0016727E" w:rsidRDefault="006F43C9" w:rsidP="00670F14">
            <w:pPr>
              <w:pStyle w:val="Footer"/>
              <w:tabs>
                <w:tab w:val="clear" w:pos="4153"/>
                <w:tab w:val="clear" w:pos="8306"/>
              </w:tabs>
              <w:spacing w:line="240" w:lineRule="atLeast"/>
              <w:ind w:left="86"/>
              <w:jc w:val="both"/>
              <w:rPr>
                <w:b/>
                <w:smallCaps/>
                <w:sz w:val="22"/>
                <w:szCs w:val="22"/>
                <w:lang w:val="en-GB"/>
              </w:rPr>
            </w:pPr>
          </w:p>
          <w:p w:rsidR="0069253A" w:rsidRPr="0016727E" w:rsidRDefault="0069253A" w:rsidP="00670F14">
            <w:pPr>
              <w:pStyle w:val="Footer"/>
              <w:tabs>
                <w:tab w:val="clear" w:pos="4153"/>
                <w:tab w:val="clear" w:pos="8306"/>
              </w:tabs>
              <w:spacing w:line="240" w:lineRule="atLeast"/>
              <w:ind w:left="86"/>
              <w:jc w:val="both"/>
              <w:rPr>
                <w:b/>
                <w:smallCaps/>
                <w:sz w:val="22"/>
                <w:szCs w:val="22"/>
                <w:lang w:val="en-GB"/>
              </w:rPr>
            </w:pPr>
          </w:p>
          <w:p w:rsidR="007A6463" w:rsidRPr="0016727E" w:rsidRDefault="001B550A" w:rsidP="001B550A">
            <w:pPr>
              <w:pStyle w:val="Footer"/>
              <w:tabs>
                <w:tab w:val="clear" w:pos="4153"/>
                <w:tab w:val="clear" w:pos="8306"/>
              </w:tabs>
              <w:spacing w:line="240" w:lineRule="atLeast"/>
              <w:ind w:left="86"/>
              <w:jc w:val="both"/>
              <w:rPr>
                <w:b/>
                <w:smallCaps/>
                <w:sz w:val="22"/>
                <w:szCs w:val="22"/>
                <w:lang w:val="en-GB"/>
              </w:rPr>
            </w:pPr>
            <w:r w:rsidRPr="0016727E">
              <w:rPr>
                <w:b/>
                <w:smallCaps/>
                <w:sz w:val="22"/>
                <w:szCs w:val="22"/>
                <w:lang w:val="en-GB"/>
              </w:rPr>
              <w:t>Closure Note</w:t>
            </w:r>
          </w:p>
        </w:tc>
        <w:tc>
          <w:tcPr>
            <w:tcW w:w="7032" w:type="dxa"/>
          </w:tcPr>
          <w:p w:rsidR="006F43C9" w:rsidRPr="0016727E" w:rsidRDefault="006F43C9" w:rsidP="005731C5">
            <w:pPr>
              <w:pStyle w:val="Footer"/>
              <w:tabs>
                <w:tab w:val="clear" w:pos="4153"/>
                <w:tab w:val="clear" w:pos="8306"/>
              </w:tabs>
              <w:spacing w:line="240" w:lineRule="atLeast"/>
              <w:ind w:left="86"/>
              <w:jc w:val="both"/>
              <w:rPr>
                <w:b/>
                <w:lang w:val="en-GB"/>
              </w:rPr>
            </w:pPr>
          </w:p>
          <w:p w:rsidR="0069253A" w:rsidRPr="0016727E" w:rsidRDefault="0069253A" w:rsidP="005731C5">
            <w:pPr>
              <w:pStyle w:val="Footer"/>
              <w:tabs>
                <w:tab w:val="clear" w:pos="4153"/>
                <w:tab w:val="clear" w:pos="8306"/>
              </w:tabs>
              <w:spacing w:line="240" w:lineRule="atLeast"/>
              <w:ind w:left="86"/>
              <w:jc w:val="both"/>
              <w:rPr>
                <w:b/>
                <w:lang w:val="en-GB"/>
              </w:rPr>
            </w:pPr>
          </w:p>
          <w:p w:rsidR="00E57DBA" w:rsidRPr="0016727E" w:rsidRDefault="00094BFE" w:rsidP="006F43C9">
            <w:pPr>
              <w:pStyle w:val="Footer"/>
              <w:tabs>
                <w:tab w:val="clear" w:pos="4153"/>
                <w:tab w:val="clear" w:pos="8306"/>
              </w:tabs>
              <w:spacing w:line="240" w:lineRule="atLeast"/>
              <w:ind w:left="184"/>
              <w:jc w:val="both"/>
              <w:rPr>
                <w:b/>
                <w:smallCaps/>
                <w:sz w:val="22"/>
                <w:szCs w:val="22"/>
                <w:lang w:val="en-GB"/>
              </w:rPr>
            </w:pPr>
            <w:r w:rsidRPr="0016727E">
              <w:rPr>
                <w:b/>
                <w:lang w:val="en-GB"/>
              </w:rPr>
              <w:t>Czech Republic –</w:t>
            </w:r>
            <w:r w:rsidR="00D772B4" w:rsidRPr="0016727E">
              <w:rPr>
                <w:b/>
                <w:lang w:val="en-GB"/>
              </w:rPr>
              <w:t xml:space="preserve"> </w:t>
            </w:r>
            <w:r w:rsidRPr="0016727E">
              <w:rPr>
                <w:b/>
                <w:lang w:val="en-GB"/>
              </w:rPr>
              <w:t>Complete Reconstruction of Extension of CWWTP on Cisarsky O</w:t>
            </w:r>
            <w:r w:rsidR="006821A3" w:rsidRPr="0016727E">
              <w:rPr>
                <w:b/>
                <w:lang w:val="en-GB"/>
              </w:rPr>
              <w:t>strov, Part 1 – New W</w:t>
            </w:r>
            <w:r w:rsidR="000C4A1C" w:rsidRPr="0016727E">
              <w:rPr>
                <w:b/>
                <w:lang w:val="en-GB"/>
              </w:rPr>
              <w:t>astew</w:t>
            </w:r>
            <w:r w:rsidR="006821A3" w:rsidRPr="0016727E">
              <w:rPr>
                <w:b/>
                <w:lang w:val="en-GB"/>
              </w:rPr>
              <w:t>ater</w:t>
            </w:r>
            <w:r w:rsidR="000C4A1C" w:rsidRPr="0016727E">
              <w:rPr>
                <w:b/>
                <w:lang w:val="en-GB"/>
              </w:rPr>
              <w:t xml:space="preserve"> Treatment</w:t>
            </w:r>
            <w:r w:rsidR="006821A3" w:rsidRPr="0016727E">
              <w:rPr>
                <w:b/>
                <w:lang w:val="en-GB"/>
              </w:rPr>
              <w:t xml:space="preserve"> Line i</w:t>
            </w:r>
            <w:r w:rsidRPr="0016727E">
              <w:rPr>
                <w:b/>
                <w:lang w:val="en-GB"/>
              </w:rPr>
              <w:t>ncluding Connection</w:t>
            </w:r>
            <w:r w:rsidRPr="0016727E">
              <w:rPr>
                <w:b/>
                <w:smallCaps/>
                <w:sz w:val="22"/>
                <w:szCs w:val="22"/>
                <w:lang w:val="en-GB"/>
              </w:rPr>
              <w:t xml:space="preserve"> </w:t>
            </w:r>
          </w:p>
          <w:p w:rsidR="0016727E" w:rsidRPr="0016727E" w:rsidRDefault="0016727E" w:rsidP="006F43C9">
            <w:pPr>
              <w:pStyle w:val="Footer"/>
              <w:tabs>
                <w:tab w:val="clear" w:pos="4153"/>
                <w:tab w:val="clear" w:pos="8306"/>
              </w:tabs>
              <w:spacing w:line="240" w:lineRule="atLeast"/>
              <w:ind w:left="184"/>
              <w:jc w:val="both"/>
              <w:rPr>
                <w:b/>
                <w:smallCaps/>
                <w:sz w:val="22"/>
                <w:szCs w:val="22"/>
                <w:lang w:val="en-GB"/>
              </w:rPr>
            </w:pPr>
          </w:p>
          <w:p w:rsidR="007A6463" w:rsidRPr="00342705" w:rsidRDefault="00094BFE" w:rsidP="006F43C9">
            <w:pPr>
              <w:pStyle w:val="Footer"/>
              <w:tabs>
                <w:tab w:val="clear" w:pos="4153"/>
                <w:tab w:val="clear" w:pos="8306"/>
              </w:tabs>
              <w:spacing w:line="240" w:lineRule="atLeast"/>
              <w:ind w:left="184"/>
              <w:jc w:val="both"/>
              <w:rPr>
                <w:b/>
                <w:smallCaps/>
                <w:sz w:val="22"/>
                <w:szCs w:val="22"/>
                <w:lang w:val="en-GB"/>
              </w:rPr>
            </w:pPr>
            <w:r w:rsidRPr="00342705">
              <w:rPr>
                <w:b/>
                <w:i/>
                <w:iCs/>
                <w:smallCaps/>
                <w:sz w:val="22"/>
                <w:szCs w:val="22"/>
                <w:lang w:val="en-GB"/>
              </w:rPr>
              <w:t>(jaspers project</w:t>
            </w:r>
            <w:r w:rsidRPr="00342705">
              <w:rPr>
                <w:b/>
                <w:i/>
                <w:iCs/>
                <w:smallCaps/>
                <w:lang w:val="en-GB"/>
              </w:rPr>
              <w:t xml:space="preserve"> 2006 070</w:t>
            </w:r>
            <w:r w:rsidRPr="00342705">
              <w:rPr>
                <w:b/>
                <w:i/>
                <w:iCs/>
                <w:smallCaps/>
                <w:sz w:val="22"/>
                <w:szCs w:val="22"/>
                <w:lang w:val="en-GB"/>
              </w:rPr>
              <w:t xml:space="preserve"> cz env wat</w:t>
            </w:r>
            <w:r w:rsidRPr="00342705">
              <w:rPr>
                <w:b/>
                <w:lang w:val="en-GB"/>
              </w:rPr>
              <w:t>)</w:t>
            </w:r>
          </w:p>
        </w:tc>
      </w:tr>
    </w:tbl>
    <w:p w:rsidR="0077068A" w:rsidRPr="00342705" w:rsidRDefault="0077068A" w:rsidP="0077068A">
      <w:pPr>
        <w:widowControl w:val="0"/>
        <w:jc w:val="both"/>
        <w:rPr>
          <w:b/>
        </w:rPr>
      </w:pPr>
    </w:p>
    <w:p w:rsidR="00476468" w:rsidRPr="0016727E" w:rsidRDefault="001B550A" w:rsidP="005731C5">
      <w:pPr>
        <w:widowControl w:val="0"/>
        <w:numPr>
          <w:ilvl w:val="0"/>
          <w:numId w:val="2"/>
        </w:numPr>
        <w:jc w:val="both"/>
        <w:rPr>
          <w:b/>
        </w:rPr>
      </w:pPr>
      <w:r w:rsidRPr="0016727E">
        <w:rPr>
          <w:b/>
        </w:rPr>
        <w:t>Introduction</w:t>
      </w:r>
    </w:p>
    <w:p w:rsidR="00476468" w:rsidRPr="0016727E" w:rsidRDefault="00476468" w:rsidP="00476468">
      <w:pPr>
        <w:widowControl w:val="0"/>
        <w:jc w:val="both"/>
        <w:rPr>
          <w:b/>
          <w:i/>
        </w:rPr>
      </w:pPr>
    </w:p>
    <w:p w:rsidR="00DF5BBA" w:rsidRPr="0016727E" w:rsidRDefault="001B550A" w:rsidP="00DF5961">
      <w:pPr>
        <w:jc w:val="both"/>
      </w:pPr>
      <w:r w:rsidRPr="0016727E">
        <w:t xml:space="preserve">This note is provided on </w:t>
      </w:r>
      <w:r w:rsidR="00E57DBA" w:rsidRPr="0016727E">
        <w:t xml:space="preserve">the </w:t>
      </w:r>
      <w:r w:rsidRPr="0016727E">
        <w:t xml:space="preserve">request of the Ministry of Environment and contains final feedback on the received responses from the Project Beneficiary </w:t>
      </w:r>
      <w:r w:rsidR="00E57DBA" w:rsidRPr="0016727E">
        <w:t>(27</w:t>
      </w:r>
      <w:r w:rsidR="00E57DBA" w:rsidRPr="0016727E">
        <w:rPr>
          <w:vertAlign w:val="superscript"/>
        </w:rPr>
        <w:t>th</w:t>
      </w:r>
      <w:r w:rsidR="00E57DBA" w:rsidRPr="0016727E">
        <w:t xml:space="preserve"> January 2015) on the draft JASPERS Action Completion Note that was issued on 12</w:t>
      </w:r>
      <w:r w:rsidR="00E57DBA" w:rsidRPr="0016727E">
        <w:rPr>
          <w:vertAlign w:val="superscript"/>
        </w:rPr>
        <w:t>th</w:t>
      </w:r>
      <w:r w:rsidR="00E57DBA" w:rsidRPr="0016727E">
        <w:t xml:space="preserve"> December 2014.  The previous JASPERS involvement </w:t>
      </w:r>
      <w:r w:rsidR="006D5FC5" w:rsidRPr="0016727E">
        <w:t>i</w:t>
      </w:r>
      <w:r w:rsidR="00E57DBA" w:rsidRPr="0016727E">
        <w:t>n this proposed project culminated with the issuing of Action Completion Note on 23</w:t>
      </w:r>
      <w:r w:rsidR="00E57DBA" w:rsidRPr="0016727E">
        <w:rPr>
          <w:vertAlign w:val="superscript"/>
        </w:rPr>
        <w:t>rd</w:t>
      </w:r>
      <w:r w:rsidR="00E57DBA" w:rsidRPr="0016727E">
        <w:t xml:space="preserve"> January 2012.  The subsequent JASPERS involvement in the re-presented project commenced in June 2014 and involved three project meetings and the issuing of </w:t>
      </w:r>
      <w:r w:rsidR="00BE3E21" w:rsidRPr="0016727E">
        <w:t>three</w:t>
      </w:r>
      <w:r w:rsidR="00E57DBA" w:rsidRPr="0016727E">
        <w:t xml:space="preserve"> Guidance Notes.  </w:t>
      </w:r>
      <w:r w:rsidR="002C7CB5" w:rsidRPr="0016727E">
        <w:t>The intended Application Document w</w:t>
      </w:r>
      <w:r w:rsidR="00BE3E21" w:rsidRPr="0016727E">
        <w:t>as</w:t>
      </w:r>
      <w:r w:rsidR="002C7CB5" w:rsidRPr="0016727E">
        <w:t xml:space="preserve"> submitted for JASPERS</w:t>
      </w:r>
      <w:r w:rsidR="006D5FC5" w:rsidRPr="0016727E">
        <w:t>’</w:t>
      </w:r>
      <w:r w:rsidR="002C7CB5" w:rsidRPr="0016727E">
        <w:t xml:space="preserve"> review on 3</w:t>
      </w:r>
      <w:r w:rsidR="002C7CB5" w:rsidRPr="0016727E">
        <w:rPr>
          <w:vertAlign w:val="superscript"/>
        </w:rPr>
        <w:t>rd</w:t>
      </w:r>
      <w:r w:rsidR="002C7CB5" w:rsidRPr="0016727E">
        <w:t xml:space="preserve"> December 2014, from which the draft Action Completion Note was issued</w:t>
      </w:r>
      <w:r w:rsidR="006D5FC5" w:rsidRPr="0016727E">
        <w:t>,</w:t>
      </w:r>
      <w:r w:rsidR="002C7CB5" w:rsidRPr="0016727E">
        <w:t xml:space="preserve"> highlighting the following “</w:t>
      </w:r>
      <w:r w:rsidR="006D5FC5" w:rsidRPr="0016727E">
        <w:t xml:space="preserve">significant </w:t>
      </w:r>
      <w:r w:rsidR="002C7CB5" w:rsidRPr="0016727E">
        <w:t>outstanding issues”:</w:t>
      </w:r>
    </w:p>
    <w:p w:rsidR="002C7CB5" w:rsidRPr="0016727E" w:rsidRDefault="002C7CB5" w:rsidP="00DF5961">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4"/>
        <w:gridCol w:w="2209"/>
        <w:gridCol w:w="6179"/>
      </w:tblGrid>
      <w:tr w:rsidR="002C7CB5" w:rsidRPr="0016727E" w:rsidTr="00342705">
        <w:tc>
          <w:tcPr>
            <w:tcW w:w="684" w:type="dxa"/>
            <w:shd w:val="clear" w:color="auto" w:fill="D9D9D9"/>
          </w:tcPr>
          <w:p w:rsidR="002C7CB5" w:rsidRPr="0016727E" w:rsidRDefault="002C7CB5" w:rsidP="000A12D1">
            <w:pPr>
              <w:rPr>
                <w:rFonts w:eastAsia="MS Mincho"/>
                <w:b/>
              </w:rPr>
            </w:pPr>
          </w:p>
        </w:tc>
        <w:tc>
          <w:tcPr>
            <w:tcW w:w="2209" w:type="dxa"/>
            <w:shd w:val="clear" w:color="auto" w:fill="D9D9D9"/>
          </w:tcPr>
          <w:p w:rsidR="002C7CB5" w:rsidRPr="0016727E" w:rsidRDefault="002C7CB5" w:rsidP="000A12D1">
            <w:pPr>
              <w:rPr>
                <w:rFonts w:eastAsia="MS Mincho"/>
                <w:b/>
              </w:rPr>
            </w:pPr>
            <w:r w:rsidRPr="0016727E">
              <w:rPr>
                <w:rFonts w:eastAsia="MS Mincho"/>
                <w:b/>
              </w:rPr>
              <w:t>Area</w:t>
            </w:r>
          </w:p>
        </w:tc>
        <w:tc>
          <w:tcPr>
            <w:tcW w:w="6179" w:type="dxa"/>
            <w:shd w:val="clear" w:color="auto" w:fill="D9D9D9"/>
          </w:tcPr>
          <w:p w:rsidR="002C7CB5" w:rsidRPr="0016727E" w:rsidRDefault="00EA6130" w:rsidP="00104C3F">
            <w:pPr>
              <w:rPr>
                <w:rFonts w:eastAsia="MS Mincho"/>
                <w:b/>
              </w:rPr>
            </w:pPr>
            <w:r w:rsidRPr="0016727E">
              <w:rPr>
                <w:rFonts w:eastAsia="MS Mincho"/>
                <w:b/>
              </w:rPr>
              <w:t xml:space="preserve">Significant </w:t>
            </w:r>
            <w:r w:rsidR="002C7CB5" w:rsidRPr="0016727E">
              <w:rPr>
                <w:rFonts w:eastAsia="MS Mincho"/>
                <w:b/>
              </w:rPr>
              <w:t>Outstanding Issue</w:t>
            </w:r>
          </w:p>
        </w:tc>
      </w:tr>
      <w:tr w:rsidR="002C7CB5" w:rsidRPr="0016727E" w:rsidTr="00342705">
        <w:tc>
          <w:tcPr>
            <w:tcW w:w="684" w:type="dxa"/>
            <w:shd w:val="clear" w:color="auto" w:fill="auto"/>
          </w:tcPr>
          <w:p w:rsidR="002C7CB5" w:rsidRPr="00342705" w:rsidRDefault="002C7CB5" w:rsidP="000A12D1">
            <w:pPr>
              <w:rPr>
                <w:rFonts w:eastAsia="MS Mincho"/>
                <w:sz w:val="10"/>
                <w:szCs w:val="10"/>
              </w:rPr>
            </w:pPr>
          </w:p>
        </w:tc>
        <w:tc>
          <w:tcPr>
            <w:tcW w:w="2209" w:type="dxa"/>
            <w:shd w:val="clear" w:color="auto" w:fill="auto"/>
          </w:tcPr>
          <w:p w:rsidR="002C7CB5" w:rsidRPr="00342705" w:rsidRDefault="002C7CB5" w:rsidP="000A12D1">
            <w:pPr>
              <w:rPr>
                <w:rFonts w:eastAsia="MS Mincho"/>
                <w:sz w:val="10"/>
                <w:szCs w:val="10"/>
              </w:rPr>
            </w:pPr>
          </w:p>
        </w:tc>
        <w:tc>
          <w:tcPr>
            <w:tcW w:w="6179" w:type="dxa"/>
            <w:shd w:val="clear" w:color="auto" w:fill="auto"/>
          </w:tcPr>
          <w:p w:rsidR="002C7CB5" w:rsidRPr="00342705" w:rsidRDefault="002C7CB5" w:rsidP="000A12D1">
            <w:pPr>
              <w:rPr>
                <w:rFonts w:eastAsia="MS Mincho"/>
                <w:sz w:val="10"/>
                <w:szCs w:val="10"/>
              </w:rPr>
            </w:pPr>
          </w:p>
        </w:tc>
      </w:tr>
      <w:tr w:rsidR="002C7CB5" w:rsidRPr="0016727E" w:rsidTr="00342705">
        <w:tc>
          <w:tcPr>
            <w:tcW w:w="684" w:type="dxa"/>
            <w:shd w:val="clear" w:color="auto" w:fill="auto"/>
          </w:tcPr>
          <w:p w:rsidR="002C7CB5" w:rsidRPr="0016727E" w:rsidRDefault="002C7CB5" w:rsidP="000A12D1">
            <w:pPr>
              <w:rPr>
                <w:rFonts w:eastAsia="MS Mincho"/>
              </w:rPr>
            </w:pPr>
            <w:r w:rsidRPr="0016727E">
              <w:rPr>
                <w:rFonts w:eastAsia="MS Mincho"/>
              </w:rPr>
              <w:t>1</w:t>
            </w:r>
          </w:p>
        </w:tc>
        <w:tc>
          <w:tcPr>
            <w:tcW w:w="2209" w:type="dxa"/>
            <w:vMerge w:val="restart"/>
            <w:shd w:val="clear" w:color="auto" w:fill="auto"/>
          </w:tcPr>
          <w:p w:rsidR="002C7CB5" w:rsidRPr="0016727E" w:rsidRDefault="002C7CB5" w:rsidP="000A12D1">
            <w:pPr>
              <w:rPr>
                <w:rFonts w:eastAsia="MS Mincho"/>
              </w:rPr>
            </w:pPr>
            <w:r w:rsidRPr="0016727E">
              <w:rPr>
                <w:rFonts w:eastAsia="MS Mincho"/>
              </w:rPr>
              <w:t>Project Objectives</w:t>
            </w:r>
          </w:p>
        </w:tc>
        <w:tc>
          <w:tcPr>
            <w:tcW w:w="6179" w:type="dxa"/>
            <w:shd w:val="clear" w:color="auto" w:fill="auto"/>
          </w:tcPr>
          <w:p w:rsidR="002C7CB5" w:rsidRPr="0016727E" w:rsidRDefault="002C7CB5" w:rsidP="002C7CB5">
            <w:pPr>
              <w:numPr>
                <w:ilvl w:val="0"/>
                <w:numId w:val="29"/>
              </w:numPr>
              <w:spacing w:line="240" w:lineRule="atLeast"/>
              <w:jc w:val="both"/>
              <w:rPr>
                <w:rFonts w:eastAsia="MS Mincho"/>
              </w:rPr>
            </w:pPr>
            <w:r w:rsidRPr="0016727E">
              <w:rPr>
                <w:rFonts w:eastAsia="MS Mincho"/>
              </w:rPr>
              <w:t>No demonstration within the main Application Documents that the current operations do not satisfy the requirements of the Urban Wastewater Directive</w:t>
            </w:r>
            <w:r w:rsidR="00EA6130" w:rsidRPr="0016727E">
              <w:rPr>
                <w:rFonts w:eastAsia="MS Mincho"/>
              </w:rPr>
              <w:t>.</w:t>
            </w:r>
          </w:p>
        </w:tc>
      </w:tr>
      <w:tr w:rsidR="002C7CB5" w:rsidRPr="0016727E" w:rsidTr="00342705">
        <w:tc>
          <w:tcPr>
            <w:tcW w:w="684" w:type="dxa"/>
            <w:shd w:val="clear" w:color="auto" w:fill="auto"/>
          </w:tcPr>
          <w:p w:rsidR="002C7CB5" w:rsidRPr="0016727E" w:rsidRDefault="002C7CB5" w:rsidP="000A12D1">
            <w:pPr>
              <w:rPr>
                <w:rFonts w:eastAsia="MS Mincho"/>
              </w:rPr>
            </w:pPr>
            <w:r w:rsidRPr="0016727E">
              <w:rPr>
                <w:rFonts w:eastAsia="MS Mincho"/>
              </w:rPr>
              <w:t>2</w:t>
            </w:r>
          </w:p>
        </w:tc>
        <w:tc>
          <w:tcPr>
            <w:tcW w:w="2209" w:type="dxa"/>
            <w:vMerge/>
            <w:shd w:val="clear" w:color="auto" w:fill="auto"/>
          </w:tcPr>
          <w:p w:rsidR="002C7CB5" w:rsidRPr="0016727E" w:rsidRDefault="002C7CB5" w:rsidP="000A12D1">
            <w:pPr>
              <w:rPr>
                <w:rFonts w:eastAsia="MS Mincho"/>
              </w:rPr>
            </w:pPr>
          </w:p>
        </w:tc>
        <w:tc>
          <w:tcPr>
            <w:tcW w:w="6179" w:type="dxa"/>
            <w:shd w:val="clear" w:color="auto" w:fill="auto"/>
          </w:tcPr>
          <w:p w:rsidR="002C7CB5" w:rsidRPr="0016727E" w:rsidRDefault="002C7CB5" w:rsidP="002C7CB5">
            <w:pPr>
              <w:numPr>
                <w:ilvl w:val="0"/>
                <w:numId w:val="29"/>
              </w:numPr>
              <w:spacing w:line="240" w:lineRule="atLeast"/>
              <w:jc w:val="both"/>
              <w:rPr>
                <w:rFonts w:eastAsia="MS Mincho"/>
              </w:rPr>
            </w:pPr>
            <w:r w:rsidRPr="0016727E">
              <w:rPr>
                <w:rFonts w:eastAsia="MS Mincho"/>
              </w:rPr>
              <w:t>Preparedness regarding the 2</w:t>
            </w:r>
            <w:r w:rsidRPr="0016727E">
              <w:rPr>
                <w:rFonts w:eastAsia="MS Mincho"/>
                <w:vertAlign w:val="superscript"/>
              </w:rPr>
              <w:t>nd</w:t>
            </w:r>
            <w:r w:rsidRPr="0016727E">
              <w:rPr>
                <w:rFonts w:eastAsia="MS Mincho"/>
              </w:rPr>
              <w:t xml:space="preserve"> stage of project implementation for the reconstruction of the existing water line</w:t>
            </w:r>
            <w:r w:rsidR="00104C3F" w:rsidRPr="0016727E">
              <w:rPr>
                <w:rFonts w:eastAsia="MS Mincho"/>
              </w:rPr>
              <w:t>.</w:t>
            </w:r>
          </w:p>
        </w:tc>
      </w:tr>
      <w:tr w:rsidR="002C7CB5" w:rsidRPr="0016727E" w:rsidTr="00342705">
        <w:tc>
          <w:tcPr>
            <w:tcW w:w="684" w:type="dxa"/>
            <w:shd w:val="clear" w:color="auto" w:fill="auto"/>
          </w:tcPr>
          <w:p w:rsidR="002C7CB5" w:rsidRPr="0016727E" w:rsidRDefault="002C7CB5" w:rsidP="000A12D1">
            <w:pPr>
              <w:rPr>
                <w:rFonts w:eastAsia="MS Mincho"/>
              </w:rPr>
            </w:pPr>
            <w:r w:rsidRPr="0016727E">
              <w:rPr>
                <w:rFonts w:eastAsia="MS Mincho"/>
              </w:rPr>
              <w:t>3</w:t>
            </w:r>
          </w:p>
        </w:tc>
        <w:tc>
          <w:tcPr>
            <w:tcW w:w="2209" w:type="dxa"/>
            <w:vMerge/>
            <w:shd w:val="clear" w:color="auto" w:fill="auto"/>
          </w:tcPr>
          <w:p w:rsidR="002C7CB5" w:rsidRPr="0016727E" w:rsidRDefault="002C7CB5" w:rsidP="000A12D1">
            <w:pPr>
              <w:rPr>
                <w:rFonts w:eastAsia="MS Mincho"/>
              </w:rPr>
            </w:pPr>
          </w:p>
        </w:tc>
        <w:tc>
          <w:tcPr>
            <w:tcW w:w="6179" w:type="dxa"/>
            <w:shd w:val="clear" w:color="auto" w:fill="auto"/>
          </w:tcPr>
          <w:p w:rsidR="002C7CB5" w:rsidRPr="0016727E" w:rsidRDefault="002C7CB5" w:rsidP="00082AE0">
            <w:pPr>
              <w:numPr>
                <w:ilvl w:val="0"/>
                <w:numId w:val="29"/>
              </w:numPr>
              <w:spacing w:line="240" w:lineRule="atLeast"/>
              <w:jc w:val="both"/>
              <w:rPr>
                <w:rFonts w:eastAsia="MS Mincho"/>
              </w:rPr>
            </w:pPr>
            <w:r w:rsidRPr="0016727E">
              <w:rPr>
                <w:rFonts w:eastAsia="MS Mincho"/>
              </w:rPr>
              <w:t>Misinterpretation of the Water Framework Directive regarding temporary discharge derogations</w:t>
            </w:r>
            <w:r w:rsidR="00104C3F" w:rsidRPr="0016727E">
              <w:rPr>
                <w:rFonts w:eastAsia="MS Mincho"/>
              </w:rPr>
              <w:t>.</w:t>
            </w:r>
          </w:p>
        </w:tc>
      </w:tr>
      <w:tr w:rsidR="002C7CB5" w:rsidRPr="0016727E" w:rsidTr="00342705">
        <w:tc>
          <w:tcPr>
            <w:tcW w:w="684" w:type="dxa"/>
            <w:shd w:val="clear" w:color="auto" w:fill="auto"/>
          </w:tcPr>
          <w:p w:rsidR="002C7CB5" w:rsidRPr="0016727E" w:rsidRDefault="002C7CB5" w:rsidP="000A12D1">
            <w:pPr>
              <w:rPr>
                <w:rFonts w:eastAsia="MS Mincho"/>
              </w:rPr>
            </w:pPr>
            <w:r w:rsidRPr="0016727E">
              <w:rPr>
                <w:rFonts w:eastAsia="MS Mincho"/>
              </w:rPr>
              <w:t>4</w:t>
            </w:r>
          </w:p>
        </w:tc>
        <w:tc>
          <w:tcPr>
            <w:tcW w:w="2209" w:type="dxa"/>
            <w:vMerge w:val="restart"/>
            <w:shd w:val="clear" w:color="auto" w:fill="auto"/>
          </w:tcPr>
          <w:p w:rsidR="002C7CB5" w:rsidRPr="0016727E" w:rsidRDefault="002C7CB5" w:rsidP="000A12D1">
            <w:pPr>
              <w:rPr>
                <w:rFonts w:eastAsia="MS Mincho"/>
              </w:rPr>
            </w:pPr>
            <w:r w:rsidRPr="0016727E">
              <w:rPr>
                <w:rFonts w:eastAsia="MS Mincho"/>
              </w:rPr>
              <w:t>Option Analysis</w:t>
            </w:r>
          </w:p>
        </w:tc>
        <w:tc>
          <w:tcPr>
            <w:tcW w:w="6179" w:type="dxa"/>
            <w:shd w:val="clear" w:color="auto" w:fill="auto"/>
          </w:tcPr>
          <w:p w:rsidR="002C7CB5" w:rsidRPr="0016727E" w:rsidRDefault="002C7CB5" w:rsidP="002C7CB5">
            <w:pPr>
              <w:numPr>
                <w:ilvl w:val="0"/>
                <w:numId w:val="29"/>
              </w:numPr>
              <w:spacing w:line="240" w:lineRule="atLeast"/>
              <w:jc w:val="both"/>
              <w:rPr>
                <w:rFonts w:eastAsia="MS Mincho"/>
              </w:rPr>
            </w:pPr>
            <w:r w:rsidRPr="0016727E">
              <w:rPr>
                <w:rFonts w:eastAsia="MS Mincho"/>
              </w:rPr>
              <w:t>Optimisation of options examined and acceptability of the preferred option</w:t>
            </w:r>
            <w:r w:rsidR="00104C3F" w:rsidRPr="0016727E">
              <w:rPr>
                <w:rFonts w:eastAsia="MS Mincho"/>
              </w:rPr>
              <w:t>.</w:t>
            </w:r>
          </w:p>
        </w:tc>
      </w:tr>
      <w:tr w:rsidR="002C7CB5" w:rsidRPr="0016727E" w:rsidTr="00342705">
        <w:tc>
          <w:tcPr>
            <w:tcW w:w="684" w:type="dxa"/>
            <w:shd w:val="clear" w:color="auto" w:fill="auto"/>
          </w:tcPr>
          <w:p w:rsidR="002C7CB5" w:rsidRPr="0016727E" w:rsidRDefault="002C7CB5" w:rsidP="000A12D1">
            <w:pPr>
              <w:rPr>
                <w:rFonts w:eastAsia="MS Mincho"/>
              </w:rPr>
            </w:pPr>
            <w:r w:rsidRPr="0016727E">
              <w:rPr>
                <w:rFonts w:eastAsia="MS Mincho"/>
              </w:rPr>
              <w:t>5</w:t>
            </w:r>
          </w:p>
        </w:tc>
        <w:tc>
          <w:tcPr>
            <w:tcW w:w="2209" w:type="dxa"/>
            <w:vMerge/>
            <w:shd w:val="clear" w:color="auto" w:fill="auto"/>
          </w:tcPr>
          <w:p w:rsidR="002C7CB5" w:rsidRPr="0016727E" w:rsidRDefault="002C7CB5" w:rsidP="000A12D1">
            <w:pPr>
              <w:rPr>
                <w:rFonts w:eastAsia="MS Mincho"/>
              </w:rPr>
            </w:pPr>
          </w:p>
        </w:tc>
        <w:tc>
          <w:tcPr>
            <w:tcW w:w="6179" w:type="dxa"/>
            <w:shd w:val="clear" w:color="auto" w:fill="auto"/>
          </w:tcPr>
          <w:p w:rsidR="002C7CB5" w:rsidRPr="0016727E" w:rsidRDefault="002C7CB5" w:rsidP="002C7CB5">
            <w:pPr>
              <w:numPr>
                <w:ilvl w:val="0"/>
                <w:numId w:val="29"/>
              </w:numPr>
              <w:spacing w:line="240" w:lineRule="atLeast"/>
              <w:jc w:val="both"/>
              <w:rPr>
                <w:rFonts w:eastAsia="MS Mincho"/>
              </w:rPr>
            </w:pPr>
            <w:r w:rsidRPr="0016727E">
              <w:rPr>
                <w:rFonts w:eastAsia="MS Mincho"/>
              </w:rPr>
              <w:t>Inconsistency and understatement of treatment capacities in the examined options</w:t>
            </w:r>
            <w:r w:rsidR="00104C3F" w:rsidRPr="0016727E">
              <w:rPr>
                <w:rFonts w:eastAsia="MS Mincho"/>
              </w:rPr>
              <w:t>.</w:t>
            </w:r>
          </w:p>
        </w:tc>
      </w:tr>
      <w:tr w:rsidR="002C7CB5" w:rsidRPr="0016727E" w:rsidTr="00342705">
        <w:tc>
          <w:tcPr>
            <w:tcW w:w="684" w:type="dxa"/>
            <w:shd w:val="clear" w:color="auto" w:fill="auto"/>
          </w:tcPr>
          <w:p w:rsidR="002C7CB5" w:rsidRPr="0016727E" w:rsidRDefault="002C7CB5" w:rsidP="000A12D1">
            <w:pPr>
              <w:rPr>
                <w:rFonts w:eastAsia="MS Mincho"/>
              </w:rPr>
            </w:pPr>
            <w:r w:rsidRPr="0016727E">
              <w:rPr>
                <w:rFonts w:eastAsia="MS Mincho"/>
              </w:rPr>
              <w:t>6</w:t>
            </w:r>
          </w:p>
        </w:tc>
        <w:tc>
          <w:tcPr>
            <w:tcW w:w="2209" w:type="dxa"/>
            <w:vMerge/>
            <w:shd w:val="clear" w:color="auto" w:fill="auto"/>
          </w:tcPr>
          <w:p w:rsidR="002C7CB5" w:rsidRPr="0016727E" w:rsidRDefault="002C7CB5" w:rsidP="000A12D1">
            <w:pPr>
              <w:rPr>
                <w:rFonts w:eastAsia="MS Mincho"/>
              </w:rPr>
            </w:pPr>
          </w:p>
        </w:tc>
        <w:tc>
          <w:tcPr>
            <w:tcW w:w="6179" w:type="dxa"/>
            <w:shd w:val="clear" w:color="auto" w:fill="auto"/>
          </w:tcPr>
          <w:p w:rsidR="002C7CB5" w:rsidRPr="0016727E" w:rsidRDefault="002C7CB5" w:rsidP="002C7CB5">
            <w:pPr>
              <w:numPr>
                <w:ilvl w:val="0"/>
                <w:numId w:val="29"/>
              </w:numPr>
              <w:spacing w:line="240" w:lineRule="atLeast"/>
              <w:jc w:val="both"/>
              <w:rPr>
                <w:rFonts w:eastAsia="MS Mincho"/>
              </w:rPr>
            </w:pPr>
            <w:r w:rsidRPr="0016727E">
              <w:rPr>
                <w:rFonts w:eastAsia="MS Mincho"/>
              </w:rPr>
              <w:t>Inconsistencies in capital and operating costs</w:t>
            </w:r>
            <w:r w:rsidR="00104C3F" w:rsidRPr="0016727E">
              <w:rPr>
                <w:rFonts w:eastAsia="MS Mincho"/>
              </w:rPr>
              <w:t>.</w:t>
            </w:r>
          </w:p>
        </w:tc>
      </w:tr>
      <w:tr w:rsidR="002C7CB5" w:rsidRPr="0016727E" w:rsidTr="00342705">
        <w:tc>
          <w:tcPr>
            <w:tcW w:w="684" w:type="dxa"/>
            <w:shd w:val="clear" w:color="auto" w:fill="auto"/>
          </w:tcPr>
          <w:p w:rsidR="002C7CB5" w:rsidRPr="0016727E" w:rsidRDefault="002C7CB5" w:rsidP="000A12D1">
            <w:pPr>
              <w:rPr>
                <w:rFonts w:eastAsia="MS Mincho"/>
              </w:rPr>
            </w:pPr>
            <w:r w:rsidRPr="0016727E">
              <w:rPr>
                <w:rFonts w:eastAsia="MS Mincho"/>
              </w:rPr>
              <w:t>7</w:t>
            </w:r>
          </w:p>
        </w:tc>
        <w:tc>
          <w:tcPr>
            <w:tcW w:w="2209" w:type="dxa"/>
            <w:vMerge w:val="restart"/>
            <w:shd w:val="clear" w:color="auto" w:fill="auto"/>
          </w:tcPr>
          <w:p w:rsidR="002C7CB5" w:rsidRPr="0016727E" w:rsidRDefault="002C7CB5" w:rsidP="000A12D1">
            <w:pPr>
              <w:rPr>
                <w:rFonts w:eastAsia="MS Mincho"/>
              </w:rPr>
            </w:pPr>
            <w:r w:rsidRPr="0016727E">
              <w:rPr>
                <w:rFonts w:eastAsia="MS Mincho"/>
              </w:rPr>
              <w:t>Technical Aspects</w:t>
            </w:r>
          </w:p>
        </w:tc>
        <w:tc>
          <w:tcPr>
            <w:tcW w:w="6179" w:type="dxa"/>
            <w:shd w:val="clear" w:color="auto" w:fill="auto"/>
          </w:tcPr>
          <w:p w:rsidR="002C7CB5" w:rsidRPr="0016727E" w:rsidRDefault="002C7CB5" w:rsidP="002C7CB5">
            <w:pPr>
              <w:numPr>
                <w:ilvl w:val="0"/>
                <w:numId w:val="29"/>
              </w:numPr>
              <w:spacing w:line="240" w:lineRule="atLeast"/>
              <w:jc w:val="both"/>
              <w:rPr>
                <w:rFonts w:eastAsia="MS Mincho"/>
              </w:rPr>
            </w:pPr>
            <w:r w:rsidRPr="0016727E">
              <w:rPr>
                <w:rFonts w:eastAsia="MS Mincho"/>
              </w:rPr>
              <w:t>Incompatible technical solution with the results of the option analysis</w:t>
            </w:r>
            <w:r w:rsidR="00104C3F" w:rsidRPr="0016727E">
              <w:rPr>
                <w:rFonts w:eastAsia="MS Mincho"/>
              </w:rPr>
              <w:t>.</w:t>
            </w:r>
            <w:r w:rsidRPr="0016727E">
              <w:rPr>
                <w:rFonts w:eastAsia="MS Mincho"/>
              </w:rPr>
              <w:t xml:space="preserve"> </w:t>
            </w:r>
          </w:p>
        </w:tc>
      </w:tr>
      <w:tr w:rsidR="002C7CB5" w:rsidRPr="0016727E" w:rsidTr="00342705">
        <w:tc>
          <w:tcPr>
            <w:tcW w:w="684" w:type="dxa"/>
            <w:shd w:val="clear" w:color="auto" w:fill="auto"/>
          </w:tcPr>
          <w:p w:rsidR="002C7CB5" w:rsidRPr="0016727E" w:rsidRDefault="002C7CB5" w:rsidP="000A12D1">
            <w:pPr>
              <w:rPr>
                <w:rFonts w:eastAsia="MS Mincho"/>
              </w:rPr>
            </w:pPr>
            <w:r w:rsidRPr="0016727E">
              <w:rPr>
                <w:rFonts w:eastAsia="MS Mincho"/>
              </w:rPr>
              <w:t>8</w:t>
            </w:r>
          </w:p>
        </w:tc>
        <w:tc>
          <w:tcPr>
            <w:tcW w:w="2209" w:type="dxa"/>
            <w:vMerge/>
            <w:shd w:val="clear" w:color="auto" w:fill="auto"/>
          </w:tcPr>
          <w:p w:rsidR="002C7CB5" w:rsidRPr="0016727E" w:rsidRDefault="002C7CB5" w:rsidP="000A12D1">
            <w:pPr>
              <w:rPr>
                <w:rFonts w:eastAsia="MS Mincho"/>
              </w:rPr>
            </w:pPr>
          </w:p>
        </w:tc>
        <w:tc>
          <w:tcPr>
            <w:tcW w:w="6179" w:type="dxa"/>
            <w:shd w:val="clear" w:color="auto" w:fill="auto"/>
          </w:tcPr>
          <w:p w:rsidR="002C7CB5" w:rsidRPr="0016727E" w:rsidRDefault="002C7CB5" w:rsidP="00104C3F">
            <w:pPr>
              <w:numPr>
                <w:ilvl w:val="0"/>
                <w:numId w:val="29"/>
              </w:numPr>
              <w:spacing w:line="240" w:lineRule="atLeast"/>
              <w:jc w:val="both"/>
              <w:rPr>
                <w:rFonts w:eastAsia="MS Mincho"/>
              </w:rPr>
            </w:pPr>
            <w:r w:rsidRPr="0016727E">
              <w:rPr>
                <w:rFonts w:eastAsia="MS Mincho"/>
              </w:rPr>
              <w:t>Overcapacity and non</w:t>
            </w:r>
            <w:r w:rsidR="00104C3F" w:rsidRPr="0016727E">
              <w:rPr>
                <w:rFonts w:eastAsia="MS Mincho"/>
              </w:rPr>
              <w:t>-</w:t>
            </w:r>
            <w:r w:rsidRPr="0016727E">
              <w:rPr>
                <w:rFonts w:eastAsia="MS Mincho"/>
              </w:rPr>
              <w:t>optimised design</w:t>
            </w:r>
            <w:r w:rsidR="00104C3F" w:rsidRPr="0016727E">
              <w:rPr>
                <w:rFonts w:eastAsia="MS Mincho"/>
              </w:rPr>
              <w:t>.</w:t>
            </w:r>
          </w:p>
        </w:tc>
      </w:tr>
      <w:tr w:rsidR="002C7CB5" w:rsidRPr="0016727E" w:rsidTr="00342705">
        <w:tc>
          <w:tcPr>
            <w:tcW w:w="684" w:type="dxa"/>
            <w:shd w:val="clear" w:color="auto" w:fill="auto"/>
          </w:tcPr>
          <w:p w:rsidR="002C7CB5" w:rsidRPr="0016727E" w:rsidRDefault="002C7CB5" w:rsidP="000A12D1">
            <w:pPr>
              <w:rPr>
                <w:rFonts w:eastAsia="MS Mincho"/>
              </w:rPr>
            </w:pPr>
            <w:r w:rsidRPr="0016727E">
              <w:rPr>
                <w:rFonts w:eastAsia="MS Mincho"/>
              </w:rPr>
              <w:t>9</w:t>
            </w:r>
          </w:p>
        </w:tc>
        <w:tc>
          <w:tcPr>
            <w:tcW w:w="2209" w:type="dxa"/>
            <w:shd w:val="clear" w:color="auto" w:fill="auto"/>
          </w:tcPr>
          <w:p w:rsidR="002C7CB5" w:rsidRPr="0016727E" w:rsidRDefault="002C7CB5" w:rsidP="000A12D1">
            <w:pPr>
              <w:rPr>
                <w:rFonts w:eastAsia="MS Mincho"/>
              </w:rPr>
            </w:pPr>
            <w:r w:rsidRPr="0016727E">
              <w:rPr>
                <w:rFonts w:eastAsia="MS Mincho"/>
              </w:rPr>
              <w:t xml:space="preserve">Project Costs </w:t>
            </w:r>
          </w:p>
        </w:tc>
        <w:tc>
          <w:tcPr>
            <w:tcW w:w="6179" w:type="dxa"/>
            <w:shd w:val="clear" w:color="auto" w:fill="auto"/>
          </w:tcPr>
          <w:p w:rsidR="002C7CB5" w:rsidRPr="0016727E" w:rsidRDefault="002C7CB5" w:rsidP="00104C3F">
            <w:pPr>
              <w:numPr>
                <w:ilvl w:val="0"/>
                <w:numId w:val="29"/>
              </w:numPr>
              <w:spacing w:line="240" w:lineRule="atLeast"/>
              <w:jc w:val="both"/>
              <w:rPr>
                <w:rFonts w:eastAsia="MS Mincho"/>
              </w:rPr>
            </w:pPr>
            <w:r w:rsidRPr="0016727E">
              <w:rPr>
                <w:rFonts w:eastAsia="MS Mincho"/>
              </w:rPr>
              <w:t>Overstatement of capital costs for the new water line</w:t>
            </w:r>
            <w:r w:rsidR="00104C3F" w:rsidRPr="0016727E">
              <w:rPr>
                <w:rFonts w:eastAsia="MS Mincho"/>
              </w:rPr>
              <w:t>.</w:t>
            </w:r>
          </w:p>
        </w:tc>
      </w:tr>
      <w:tr w:rsidR="002C7CB5" w:rsidRPr="0016727E" w:rsidTr="00342705">
        <w:tc>
          <w:tcPr>
            <w:tcW w:w="684" w:type="dxa"/>
            <w:shd w:val="clear" w:color="auto" w:fill="auto"/>
          </w:tcPr>
          <w:p w:rsidR="002C7CB5" w:rsidRPr="0016727E" w:rsidRDefault="002C7CB5" w:rsidP="000A12D1">
            <w:pPr>
              <w:rPr>
                <w:rFonts w:eastAsia="MS Mincho"/>
              </w:rPr>
            </w:pPr>
            <w:r w:rsidRPr="0016727E">
              <w:rPr>
                <w:rFonts w:eastAsia="MS Mincho"/>
              </w:rPr>
              <w:t>10</w:t>
            </w:r>
          </w:p>
        </w:tc>
        <w:tc>
          <w:tcPr>
            <w:tcW w:w="2209" w:type="dxa"/>
            <w:shd w:val="clear" w:color="auto" w:fill="auto"/>
          </w:tcPr>
          <w:p w:rsidR="002C7CB5" w:rsidRPr="0016727E" w:rsidRDefault="002C7CB5" w:rsidP="00104C3F">
            <w:pPr>
              <w:rPr>
                <w:rFonts w:eastAsia="MS Mincho"/>
              </w:rPr>
            </w:pPr>
            <w:r w:rsidRPr="0016727E">
              <w:rPr>
                <w:rFonts w:eastAsia="MS Mincho"/>
              </w:rPr>
              <w:t xml:space="preserve">EIA </w:t>
            </w:r>
            <w:r w:rsidR="00EA6130" w:rsidRPr="0016727E">
              <w:rPr>
                <w:rFonts w:eastAsia="MS Mincho"/>
              </w:rPr>
              <w:t>P</w:t>
            </w:r>
            <w:r w:rsidRPr="0016727E">
              <w:rPr>
                <w:rFonts w:eastAsia="MS Mincho"/>
              </w:rPr>
              <w:t xml:space="preserve">rocedures </w:t>
            </w:r>
          </w:p>
        </w:tc>
        <w:tc>
          <w:tcPr>
            <w:tcW w:w="6179" w:type="dxa"/>
            <w:shd w:val="clear" w:color="auto" w:fill="auto"/>
          </w:tcPr>
          <w:p w:rsidR="002C7CB5" w:rsidRPr="0016727E" w:rsidRDefault="002C7CB5" w:rsidP="00104C3F">
            <w:pPr>
              <w:numPr>
                <w:ilvl w:val="0"/>
                <w:numId w:val="29"/>
              </w:numPr>
              <w:spacing w:line="240" w:lineRule="atLeast"/>
              <w:jc w:val="both"/>
              <w:rPr>
                <w:rFonts w:eastAsia="MS Mincho"/>
              </w:rPr>
            </w:pPr>
            <w:r w:rsidRPr="0016727E">
              <w:rPr>
                <w:rFonts w:eastAsia="MS Mincho"/>
              </w:rPr>
              <w:t>Main Building Permits, in the Czech context representing the final stage of a multi-stage EIA procedure are missing.</w:t>
            </w:r>
          </w:p>
        </w:tc>
      </w:tr>
      <w:tr w:rsidR="002C7CB5" w:rsidRPr="0016727E" w:rsidTr="00342705">
        <w:tc>
          <w:tcPr>
            <w:tcW w:w="684" w:type="dxa"/>
            <w:shd w:val="clear" w:color="auto" w:fill="auto"/>
          </w:tcPr>
          <w:p w:rsidR="002C7CB5" w:rsidRPr="0016727E" w:rsidRDefault="002C7CB5" w:rsidP="000A12D1">
            <w:pPr>
              <w:rPr>
                <w:rFonts w:eastAsia="MS Mincho"/>
              </w:rPr>
            </w:pPr>
            <w:r w:rsidRPr="0016727E">
              <w:rPr>
                <w:rFonts w:eastAsia="MS Mincho"/>
              </w:rPr>
              <w:t>11</w:t>
            </w:r>
          </w:p>
        </w:tc>
        <w:tc>
          <w:tcPr>
            <w:tcW w:w="2209" w:type="dxa"/>
            <w:shd w:val="clear" w:color="auto" w:fill="auto"/>
          </w:tcPr>
          <w:p w:rsidR="002C7CB5" w:rsidRPr="0016727E" w:rsidRDefault="002C7CB5" w:rsidP="000A12D1">
            <w:pPr>
              <w:rPr>
                <w:rFonts w:eastAsia="MS Mincho"/>
              </w:rPr>
            </w:pPr>
            <w:r w:rsidRPr="0016727E">
              <w:rPr>
                <w:rFonts w:eastAsia="MS Mincho"/>
              </w:rPr>
              <w:t>Economic Evaluation</w:t>
            </w:r>
          </w:p>
        </w:tc>
        <w:tc>
          <w:tcPr>
            <w:tcW w:w="6179" w:type="dxa"/>
            <w:shd w:val="clear" w:color="auto" w:fill="auto"/>
          </w:tcPr>
          <w:p w:rsidR="002C7CB5" w:rsidRPr="0016727E" w:rsidRDefault="002C7CB5" w:rsidP="002C7CB5">
            <w:pPr>
              <w:numPr>
                <w:ilvl w:val="0"/>
                <w:numId w:val="29"/>
              </w:numPr>
              <w:spacing w:line="240" w:lineRule="atLeast"/>
              <w:jc w:val="both"/>
              <w:rPr>
                <w:rFonts w:eastAsia="MS Mincho"/>
              </w:rPr>
            </w:pPr>
            <w:r w:rsidRPr="0016727E">
              <w:rPr>
                <w:rFonts w:eastAsia="MS Mincho"/>
              </w:rPr>
              <w:t>Inconsistent investment costs and exclusion of replacement costs and the residual value in determining economic viability</w:t>
            </w:r>
            <w:r w:rsidR="00104C3F" w:rsidRPr="0016727E">
              <w:rPr>
                <w:rFonts w:eastAsia="MS Mincho"/>
              </w:rPr>
              <w:t>.</w:t>
            </w:r>
            <w:r w:rsidRPr="0016727E">
              <w:rPr>
                <w:rFonts w:eastAsia="MS Mincho"/>
              </w:rPr>
              <w:t xml:space="preserve"> </w:t>
            </w:r>
          </w:p>
        </w:tc>
      </w:tr>
      <w:tr w:rsidR="002C7CB5" w:rsidRPr="0016727E" w:rsidTr="00342705">
        <w:tc>
          <w:tcPr>
            <w:tcW w:w="684" w:type="dxa"/>
            <w:shd w:val="clear" w:color="auto" w:fill="auto"/>
          </w:tcPr>
          <w:p w:rsidR="002C7CB5" w:rsidRPr="0016727E" w:rsidRDefault="002C7CB5" w:rsidP="000A12D1">
            <w:pPr>
              <w:rPr>
                <w:rFonts w:eastAsia="MS Mincho"/>
              </w:rPr>
            </w:pPr>
            <w:r w:rsidRPr="0016727E">
              <w:rPr>
                <w:rFonts w:eastAsia="MS Mincho"/>
              </w:rPr>
              <w:t>12</w:t>
            </w:r>
          </w:p>
        </w:tc>
        <w:tc>
          <w:tcPr>
            <w:tcW w:w="2209" w:type="dxa"/>
            <w:vMerge w:val="restart"/>
            <w:shd w:val="clear" w:color="auto" w:fill="auto"/>
          </w:tcPr>
          <w:p w:rsidR="002C7CB5" w:rsidRPr="0016727E" w:rsidRDefault="002C7CB5" w:rsidP="000A12D1">
            <w:pPr>
              <w:rPr>
                <w:rFonts w:eastAsia="MS Mincho"/>
              </w:rPr>
            </w:pPr>
            <w:r w:rsidRPr="0016727E">
              <w:rPr>
                <w:rFonts w:eastAsia="MS Mincho"/>
              </w:rPr>
              <w:t>Financial Analysis</w:t>
            </w:r>
          </w:p>
        </w:tc>
        <w:tc>
          <w:tcPr>
            <w:tcW w:w="6179" w:type="dxa"/>
            <w:shd w:val="clear" w:color="auto" w:fill="auto"/>
          </w:tcPr>
          <w:p w:rsidR="002C7CB5" w:rsidRPr="0016727E" w:rsidRDefault="002C7CB5" w:rsidP="00104C3F">
            <w:pPr>
              <w:numPr>
                <w:ilvl w:val="0"/>
                <w:numId w:val="29"/>
              </w:numPr>
              <w:spacing w:line="240" w:lineRule="atLeast"/>
              <w:jc w:val="both"/>
              <w:rPr>
                <w:rFonts w:eastAsia="MS Mincho"/>
              </w:rPr>
            </w:pPr>
            <w:r w:rsidRPr="0016727E">
              <w:rPr>
                <w:rFonts w:eastAsia="MS Mincho"/>
              </w:rPr>
              <w:t>The project fails to meet financial (cash) sustainability criteria with this also resulting in an overstatement of the funding gap rate</w:t>
            </w:r>
            <w:r w:rsidR="00104C3F" w:rsidRPr="0016727E">
              <w:rPr>
                <w:rFonts w:eastAsia="MS Mincho"/>
              </w:rPr>
              <w:t>.</w:t>
            </w:r>
          </w:p>
        </w:tc>
      </w:tr>
      <w:tr w:rsidR="002C7CB5" w:rsidRPr="0016727E" w:rsidTr="00342705">
        <w:tc>
          <w:tcPr>
            <w:tcW w:w="684" w:type="dxa"/>
            <w:shd w:val="clear" w:color="auto" w:fill="auto"/>
          </w:tcPr>
          <w:p w:rsidR="002C7CB5" w:rsidRPr="0016727E" w:rsidRDefault="002C7CB5" w:rsidP="000A12D1">
            <w:pPr>
              <w:rPr>
                <w:rFonts w:eastAsia="MS Mincho"/>
              </w:rPr>
            </w:pPr>
            <w:r w:rsidRPr="0016727E">
              <w:rPr>
                <w:rFonts w:eastAsia="MS Mincho"/>
              </w:rPr>
              <w:t>13</w:t>
            </w:r>
          </w:p>
        </w:tc>
        <w:tc>
          <w:tcPr>
            <w:tcW w:w="2209" w:type="dxa"/>
            <w:vMerge/>
            <w:shd w:val="clear" w:color="auto" w:fill="auto"/>
          </w:tcPr>
          <w:p w:rsidR="002C7CB5" w:rsidRPr="0016727E" w:rsidRDefault="002C7CB5" w:rsidP="000A12D1">
            <w:pPr>
              <w:rPr>
                <w:rFonts w:eastAsia="MS Mincho"/>
              </w:rPr>
            </w:pPr>
          </w:p>
        </w:tc>
        <w:tc>
          <w:tcPr>
            <w:tcW w:w="6179" w:type="dxa"/>
            <w:shd w:val="clear" w:color="auto" w:fill="auto"/>
          </w:tcPr>
          <w:p w:rsidR="002C7CB5" w:rsidRPr="0016727E" w:rsidRDefault="002C7CB5" w:rsidP="002C7CB5">
            <w:pPr>
              <w:numPr>
                <w:ilvl w:val="0"/>
                <w:numId w:val="29"/>
              </w:numPr>
              <w:spacing w:line="240" w:lineRule="atLeast"/>
              <w:jc w:val="both"/>
              <w:rPr>
                <w:rFonts w:eastAsia="MS Mincho"/>
              </w:rPr>
            </w:pPr>
            <w:r w:rsidRPr="0016727E">
              <w:rPr>
                <w:rFonts w:eastAsia="MS Mincho"/>
              </w:rPr>
              <w:t>Inconsistent investment costs used in the calculation of the funding gap rate</w:t>
            </w:r>
            <w:r w:rsidR="00104C3F" w:rsidRPr="0016727E">
              <w:rPr>
                <w:rFonts w:eastAsia="MS Mincho"/>
              </w:rPr>
              <w:t>.</w:t>
            </w:r>
          </w:p>
        </w:tc>
      </w:tr>
      <w:tr w:rsidR="002C7CB5" w:rsidRPr="0016727E" w:rsidTr="00342705">
        <w:tc>
          <w:tcPr>
            <w:tcW w:w="684" w:type="dxa"/>
            <w:shd w:val="clear" w:color="auto" w:fill="auto"/>
          </w:tcPr>
          <w:p w:rsidR="002C7CB5" w:rsidRPr="0016727E" w:rsidRDefault="002C7CB5" w:rsidP="000A12D1">
            <w:pPr>
              <w:rPr>
                <w:rFonts w:eastAsia="MS Mincho"/>
              </w:rPr>
            </w:pPr>
            <w:r w:rsidRPr="0016727E">
              <w:rPr>
                <w:rFonts w:eastAsia="MS Mincho"/>
              </w:rPr>
              <w:t>14</w:t>
            </w:r>
          </w:p>
        </w:tc>
        <w:tc>
          <w:tcPr>
            <w:tcW w:w="2209" w:type="dxa"/>
            <w:shd w:val="clear" w:color="auto" w:fill="auto"/>
          </w:tcPr>
          <w:p w:rsidR="002C7CB5" w:rsidRPr="0016727E" w:rsidRDefault="002C7CB5" w:rsidP="000A12D1">
            <w:pPr>
              <w:rPr>
                <w:rFonts w:eastAsia="MS Mincho"/>
              </w:rPr>
            </w:pPr>
            <w:r w:rsidRPr="0016727E">
              <w:rPr>
                <w:rFonts w:eastAsia="MS Mincho"/>
              </w:rPr>
              <w:t>Project Financing</w:t>
            </w:r>
          </w:p>
        </w:tc>
        <w:tc>
          <w:tcPr>
            <w:tcW w:w="6179" w:type="dxa"/>
            <w:shd w:val="clear" w:color="auto" w:fill="auto"/>
          </w:tcPr>
          <w:p w:rsidR="002C7CB5" w:rsidRPr="0016727E" w:rsidRDefault="002C7CB5" w:rsidP="00104C3F">
            <w:pPr>
              <w:numPr>
                <w:ilvl w:val="0"/>
                <w:numId w:val="29"/>
              </w:numPr>
              <w:spacing w:line="240" w:lineRule="atLeast"/>
              <w:jc w:val="both"/>
              <w:rPr>
                <w:rFonts w:eastAsia="MS Mincho"/>
              </w:rPr>
            </w:pPr>
            <w:r w:rsidRPr="0016727E">
              <w:rPr>
                <w:rFonts w:eastAsia="MS Mincho"/>
              </w:rPr>
              <w:t>Commitment for financing the full project remains unclear and in total, as currently specified, would require some € 260</w:t>
            </w:r>
            <w:r w:rsidR="00104C3F" w:rsidRPr="0016727E">
              <w:rPr>
                <w:rFonts w:eastAsia="MS Mincho"/>
              </w:rPr>
              <w:t> </w:t>
            </w:r>
            <w:r w:rsidRPr="0016727E">
              <w:rPr>
                <w:rFonts w:eastAsia="MS Mincho"/>
              </w:rPr>
              <w:t xml:space="preserve">million of direct financing from the City.  </w:t>
            </w:r>
          </w:p>
        </w:tc>
      </w:tr>
      <w:tr w:rsidR="002C7CB5" w:rsidRPr="0016727E" w:rsidTr="00342705">
        <w:tc>
          <w:tcPr>
            <w:tcW w:w="684" w:type="dxa"/>
            <w:shd w:val="clear" w:color="auto" w:fill="auto"/>
          </w:tcPr>
          <w:p w:rsidR="002C7CB5" w:rsidRPr="0016727E" w:rsidRDefault="002C7CB5" w:rsidP="000A12D1">
            <w:pPr>
              <w:rPr>
                <w:rFonts w:eastAsia="MS Mincho"/>
              </w:rPr>
            </w:pPr>
            <w:r w:rsidRPr="0016727E">
              <w:rPr>
                <w:rFonts w:eastAsia="MS Mincho"/>
              </w:rPr>
              <w:t>15</w:t>
            </w:r>
          </w:p>
        </w:tc>
        <w:tc>
          <w:tcPr>
            <w:tcW w:w="2209" w:type="dxa"/>
            <w:vMerge w:val="restart"/>
            <w:shd w:val="clear" w:color="auto" w:fill="auto"/>
          </w:tcPr>
          <w:p w:rsidR="002C7CB5" w:rsidRPr="0016727E" w:rsidRDefault="002C7CB5" w:rsidP="000A12D1">
            <w:pPr>
              <w:rPr>
                <w:rFonts w:eastAsia="MS Mincho"/>
              </w:rPr>
            </w:pPr>
            <w:r w:rsidRPr="0016727E">
              <w:rPr>
                <w:rFonts w:eastAsia="MS Mincho"/>
              </w:rPr>
              <w:t>Procurement and Timetable</w:t>
            </w:r>
          </w:p>
        </w:tc>
        <w:tc>
          <w:tcPr>
            <w:tcW w:w="6179" w:type="dxa"/>
            <w:shd w:val="clear" w:color="auto" w:fill="auto"/>
          </w:tcPr>
          <w:p w:rsidR="002C7CB5" w:rsidRPr="0016727E" w:rsidRDefault="002C7CB5" w:rsidP="00104C3F">
            <w:pPr>
              <w:numPr>
                <w:ilvl w:val="0"/>
                <w:numId w:val="29"/>
              </w:numPr>
              <w:spacing w:line="240" w:lineRule="atLeast"/>
              <w:jc w:val="both"/>
              <w:rPr>
                <w:rFonts w:eastAsia="MS Mincho"/>
              </w:rPr>
            </w:pPr>
            <w:r w:rsidRPr="0016727E">
              <w:rPr>
                <w:rFonts w:eastAsia="MS Mincho"/>
              </w:rPr>
              <w:t xml:space="preserve">Poorly demonstrated </w:t>
            </w:r>
            <w:r w:rsidR="00104C3F" w:rsidRPr="0016727E">
              <w:rPr>
                <w:rFonts w:eastAsia="MS Mincho"/>
              </w:rPr>
              <w:t xml:space="preserve">functionality </w:t>
            </w:r>
            <w:r w:rsidRPr="0016727E">
              <w:rPr>
                <w:rFonts w:eastAsia="MS Mincho"/>
              </w:rPr>
              <w:t>arguments and strong degree of delays (implementation / procurement) of works allocated to Phase I (OPE – 2007 – 2013)</w:t>
            </w:r>
            <w:r w:rsidR="00104C3F" w:rsidRPr="0016727E">
              <w:rPr>
                <w:rFonts w:eastAsia="MS Mincho"/>
              </w:rPr>
              <w:t>.</w:t>
            </w:r>
          </w:p>
        </w:tc>
      </w:tr>
      <w:tr w:rsidR="002C7CB5" w:rsidRPr="0016727E" w:rsidTr="00342705">
        <w:tc>
          <w:tcPr>
            <w:tcW w:w="684" w:type="dxa"/>
            <w:shd w:val="clear" w:color="auto" w:fill="auto"/>
          </w:tcPr>
          <w:p w:rsidR="002C7CB5" w:rsidRPr="0016727E" w:rsidRDefault="002C7CB5" w:rsidP="000A12D1">
            <w:pPr>
              <w:rPr>
                <w:rFonts w:eastAsia="MS Mincho"/>
              </w:rPr>
            </w:pPr>
            <w:r w:rsidRPr="0016727E">
              <w:rPr>
                <w:rFonts w:eastAsia="MS Mincho"/>
              </w:rPr>
              <w:t>16</w:t>
            </w:r>
          </w:p>
        </w:tc>
        <w:tc>
          <w:tcPr>
            <w:tcW w:w="2209" w:type="dxa"/>
            <w:vMerge/>
            <w:shd w:val="clear" w:color="auto" w:fill="auto"/>
          </w:tcPr>
          <w:p w:rsidR="002C7CB5" w:rsidRPr="0016727E" w:rsidRDefault="002C7CB5" w:rsidP="000A12D1">
            <w:pPr>
              <w:rPr>
                <w:rFonts w:eastAsia="MS Mincho"/>
              </w:rPr>
            </w:pPr>
          </w:p>
        </w:tc>
        <w:tc>
          <w:tcPr>
            <w:tcW w:w="6179" w:type="dxa"/>
            <w:shd w:val="clear" w:color="auto" w:fill="auto"/>
          </w:tcPr>
          <w:p w:rsidR="002C7CB5" w:rsidRPr="0016727E" w:rsidRDefault="002C7CB5" w:rsidP="00104C3F">
            <w:pPr>
              <w:numPr>
                <w:ilvl w:val="0"/>
                <w:numId w:val="29"/>
              </w:numPr>
              <w:spacing w:line="240" w:lineRule="atLeast"/>
              <w:jc w:val="both"/>
              <w:rPr>
                <w:rFonts w:eastAsia="MS Mincho"/>
              </w:rPr>
            </w:pPr>
            <w:r w:rsidRPr="0016727E">
              <w:rPr>
                <w:rFonts w:eastAsia="MS Mincho"/>
              </w:rPr>
              <w:t>Validity of the awarded construction contract for Stage 0001 : New Water Line</w:t>
            </w:r>
            <w:r w:rsidR="00104C3F" w:rsidRPr="0016727E">
              <w:rPr>
                <w:rFonts w:eastAsia="MS Mincho"/>
              </w:rPr>
              <w:t>.</w:t>
            </w:r>
          </w:p>
        </w:tc>
      </w:tr>
      <w:tr w:rsidR="002C7CB5" w:rsidRPr="0016727E" w:rsidTr="00342705">
        <w:tc>
          <w:tcPr>
            <w:tcW w:w="684" w:type="dxa"/>
            <w:shd w:val="clear" w:color="auto" w:fill="auto"/>
          </w:tcPr>
          <w:p w:rsidR="002C7CB5" w:rsidRPr="0016727E" w:rsidRDefault="002C7CB5" w:rsidP="000A12D1">
            <w:pPr>
              <w:rPr>
                <w:rFonts w:eastAsia="MS Mincho"/>
              </w:rPr>
            </w:pPr>
            <w:r w:rsidRPr="0016727E">
              <w:rPr>
                <w:rFonts w:eastAsia="MS Mincho"/>
              </w:rPr>
              <w:t>17</w:t>
            </w:r>
          </w:p>
        </w:tc>
        <w:tc>
          <w:tcPr>
            <w:tcW w:w="2209" w:type="dxa"/>
            <w:vMerge/>
            <w:shd w:val="clear" w:color="auto" w:fill="auto"/>
          </w:tcPr>
          <w:p w:rsidR="002C7CB5" w:rsidRPr="0016727E" w:rsidRDefault="002C7CB5" w:rsidP="000A12D1">
            <w:pPr>
              <w:rPr>
                <w:rFonts w:eastAsia="MS Mincho"/>
              </w:rPr>
            </w:pPr>
          </w:p>
        </w:tc>
        <w:tc>
          <w:tcPr>
            <w:tcW w:w="6179" w:type="dxa"/>
            <w:shd w:val="clear" w:color="auto" w:fill="auto"/>
          </w:tcPr>
          <w:p w:rsidR="002C7CB5" w:rsidRPr="0016727E" w:rsidRDefault="002C7CB5" w:rsidP="002C7CB5">
            <w:pPr>
              <w:numPr>
                <w:ilvl w:val="0"/>
                <w:numId w:val="29"/>
              </w:numPr>
              <w:spacing w:line="240" w:lineRule="atLeast"/>
              <w:jc w:val="both"/>
              <w:rPr>
                <w:rFonts w:eastAsia="MS Mincho"/>
              </w:rPr>
            </w:pPr>
            <w:r w:rsidRPr="0016727E">
              <w:rPr>
                <w:rFonts w:eastAsia="MS Mincho"/>
              </w:rPr>
              <w:t>High contract value for construction supervision services</w:t>
            </w:r>
            <w:r w:rsidR="00104C3F" w:rsidRPr="0016727E">
              <w:rPr>
                <w:rFonts w:eastAsia="MS Mincho"/>
              </w:rPr>
              <w:t>.</w:t>
            </w:r>
          </w:p>
        </w:tc>
      </w:tr>
      <w:tr w:rsidR="002C7CB5" w:rsidRPr="0016727E" w:rsidTr="00342705">
        <w:tc>
          <w:tcPr>
            <w:tcW w:w="684" w:type="dxa"/>
            <w:shd w:val="clear" w:color="auto" w:fill="auto"/>
          </w:tcPr>
          <w:p w:rsidR="002C7CB5" w:rsidRPr="0016727E" w:rsidRDefault="002C7CB5" w:rsidP="000A12D1">
            <w:pPr>
              <w:rPr>
                <w:rFonts w:eastAsia="MS Mincho"/>
              </w:rPr>
            </w:pPr>
            <w:r w:rsidRPr="0016727E">
              <w:rPr>
                <w:rFonts w:eastAsia="MS Mincho"/>
              </w:rPr>
              <w:t>18</w:t>
            </w:r>
          </w:p>
        </w:tc>
        <w:tc>
          <w:tcPr>
            <w:tcW w:w="2209" w:type="dxa"/>
            <w:shd w:val="clear" w:color="auto" w:fill="auto"/>
          </w:tcPr>
          <w:p w:rsidR="002C7CB5" w:rsidRPr="0016727E" w:rsidRDefault="002C7CB5" w:rsidP="000A12D1">
            <w:pPr>
              <w:rPr>
                <w:rFonts w:eastAsia="MS Mincho"/>
              </w:rPr>
            </w:pPr>
            <w:r w:rsidRPr="0016727E">
              <w:rPr>
                <w:rFonts w:eastAsia="MS Mincho"/>
              </w:rPr>
              <w:t>Institutional / Operational</w:t>
            </w:r>
          </w:p>
        </w:tc>
        <w:tc>
          <w:tcPr>
            <w:tcW w:w="6179" w:type="dxa"/>
            <w:shd w:val="clear" w:color="auto" w:fill="auto"/>
          </w:tcPr>
          <w:p w:rsidR="002C7CB5" w:rsidRPr="0016727E" w:rsidRDefault="002C7CB5" w:rsidP="002C7CB5">
            <w:pPr>
              <w:numPr>
                <w:ilvl w:val="0"/>
                <w:numId w:val="29"/>
              </w:numPr>
              <w:spacing w:line="240" w:lineRule="atLeast"/>
              <w:jc w:val="both"/>
              <w:rPr>
                <w:rFonts w:eastAsia="MS Mincho"/>
              </w:rPr>
            </w:pPr>
            <w:r w:rsidRPr="0016727E">
              <w:rPr>
                <w:rFonts w:eastAsia="MS Mincho"/>
              </w:rPr>
              <w:t>Lack of details in agreement for changing the operating mode and agreement, together with unclear degree of commitments</w:t>
            </w:r>
            <w:r w:rsidR="00104C3F" w:rsidRPr="0016727E">
              <w:rPr>
                <w:rFonts w:eastAsia="MS Mincho"/>
              </w:rPr>
              <w:t>.</w:t>
            </w:r>
          </w:p>
        </w:tc>
      </w:tr>
    </w:tbl>
    <w:p w:rsidR="002C7CB5" w:rsidRPr="0016727E" w:rsidRDefault="002C7CB5" w:rsidP="00DF5961">
      <w:pPr>
        <w:jc w:val="both"/>
      </w:pPr>
    </w:p>
    <w:p w:rsidR="002C7CB5" w:rsidRPr="0016727E" w:rsidRDefault="002C7CB5" w:rsidP="00DF5961">
      <w:pPr>
        <w:jc w:val="both"/>
      </w:pPr>
      <w:r w:rsidRPr="0016727E">
        <w:t xml:space="preserve">Owing to the above listed outstanding issues </w:t>
      </w:r>
      <w:r w:rsidR="00A20BB2" w:rsidRPr="0016727E">
        <w:t xml:space="preserve">and based on the information provided within the Application Documents, </w:t>
      </w:r>
      <w:r w:rsidRPr="0016727E">
        <w:t>the JASPERS</w:t>
      </w:r>
      <w:r w:rsidR="00104C3F" w:rsidRPr="0016727E">
        <w:t>’</w:t>
      </w:r>
      <w:r w:rsidRPr="0016727E">
        <w:t xml:space="preserve"> </w:t>
      </w:r>
      <w:r w:rsidR="00104C3F" w:rsidRPr="0016727E">
        <w:t xml:space="preserve">draft Action Completion Note </w:t>
      </w:r>
      <w:r w:rsidRPr="0016727E">
        <w:t>concluded that “</w:t>
      </w:r>
      <w:r w:rsidRPr="0016727E">
        <w:rPr>
          <w:i/>
        </w:rPr>
        <w:t>JASPERS is not in a position to endorse the proposed project for the enhancement of wastewater treatment as either an efficient or a cost effective (least cost) solution to meet the long term wastewater treatment needs for the City of Prague</w:t>
      </w:r>
      <w:r w:rsidRPr="0016727E">
        <w:t>”.  The response of the Project Beneficiary to the draft Completion Note, as received on 27</w:t>
      </w:r>
      <w:r w:rsidRPr="0016727E">
        <w:rPr>
          <w:vertAlign w:val="superscript"/>
        </w:rPr>
        <w:t>th</w:t>
      </w:r>
      <w:r w:rsidR="00104C3F" w:rsidRPr="0016727E">
        <w:t> </w:t>
      </w:r>
      <w:r w:rsidRPr="0016727E">
        <w:t>January 2015, comprised detailed replies to the above outstandi</w:t>
      </w:r>
      <w:r w:rsidR="0001083A" w:rsidRPr="0016727E">
        <w:t xml:space="preserve">ng issues as well as </w:t>
      </w:r>
      <w:r w:rsidR="00DD564B" w:rsidRPr="0016727E">
        <w:t>other JASPER</w:t>
      </w:r>
      <w:r w:rsidR="00C53C97" w:rsidRPr="0016727E">
        <w:t>S</w:t>
      </w:r>
      <w:r w:rsidR="00DD564B" w:rsidRPr="0016727E">
        <w:t xml:space="preserve"> comments and also </w:t>
      </w:r>
      <w:r w:rsidR="0001083A" w:rsidRPr="0016727E">
        <w:t>provid</w:t>
      </w:r>
      <w:r w:rsidR="00DD564B" w:rsidRPr="0016727E">
        <w:t>e</w:t>
      </w:r>
      <w:r w:rsidR="00104C3F" w:rsidRPr="0016727E">
        <w:t>d</w:t>
      </w:r>
      <w:r w:rsidR="0001083A" w:rsidRPr="0016727E">
        <w:t xml:space="preserve"> a large volume of </w:t>
      </w:r>
      <w:r w:rsidR="00DD564B" w:rsidRPr="0016727E">
        <w:t xml:space="preserve">(supporting) </w:t>
      </w:r>
      <w:r w:rsidR="0001083A" w:rsidRPr="0016727E">
        <w:t>attachments.  An initial reply (email of 6</w:t>
      </w:r>
      <w:r w:rsidR="0001083A" w:rsidRPr="0016727E">
        <w:rPr>
          <w:vertAlign w:val="superscript"/>
        </w:rPr>
        <w:t>th</w:t>
      </w:r>
      <w:r w:rsidR="0001083A" w:rsidRPr="0016727E">
        <w:t xml:space="preserve"> February) highlighted that in JASPERS</w:t>
      </w:r>
      <w:r w:rsidR="00104C3F" w:rsidRPr="0016727E">
        <w:t>’</w:t>
      </w:r>
      <w:r w:rsidR="0001083A" w:rsidRPr="0016727E">
        <w:t xml:space="preserve"> opinion</w:t>
      </w:r>
      <w:r w:rsidR="00104C3F" w:rsidRPr="0016727E">
        <w:t>,</w:t>
      </w:r>
      <w:r w:rsidR="0001083A" w:rsidRPr="0016727E">
        <w:t xml:space="preserve"> the received responses, together with the detailed supporting attachments, were not sufficient to change the overall JASPERS opinion on the appropriateness of the proposed project.  The email</w:t>
      </w:r>
      <w:r w:rsidR="00104C3F" w:rsidRPr="0016727E">
        <w:t>,</w:t>
      </w:r>
      <w:r w:rsidR="0001083A" w:rsidRPr="0016727E">
        <w:t xml:space="preserve"> in particular</w:t>
      </w:r>
      <w:r w:rsidR="00104C3F" w:rsidRPr="0016727E">
        <w:t>,</w:t>
      </w:r>
      <w:r w:rsidR="0001083A" w:rsidRPr="0016727E">
        <w:t xml:space="preserve"> noted that following:</w:t>
      </w:r>
    </w:p>
    <w:p w:rsidR="0001083A" w:rsidRPr="0016727E" w:rsidRDefault="0001083A" w:rsidP="00DF5961">
      <w:pPr>
        <w:jc w:val="both"/>
      </w:pPr>
    </w:p>
    <w:p w:rsidR="0001083A" w:rsidRPr="0016727E" w:rsidRDefault="0001083A" w:rsidP="00DF5961">
      <w:pPr>
        <w:jc w:val="both"/>
        <w:rPr>
          <w:i/>
        </w:rPr>
      </w:pPr>
      <w:r w:rsidRPr="0016727E">
        <w:rPr>
          <w:i/>
        </w:rPr>
        <w:t xml:space="preserve">“we can summarise our current feed back to the comments in three categories outlined below. </w:t>
      </w:r>
    </w:p>
    <w:p w:rsidR="0001083A" w:rsidRPr="0016727E" w:rsidRDefault="0001083A" w:rsidP="00DF5961">
      <w:pPr>
        <w:jc w:val="both"/>
        <w:rPr>
          <w:i/>
        </w:rPr>
      </w:pPr>
    </w:p>
    <w:p w:rsidR="0001083A" w:rsidRPr="0016727E" w:rsidRDefault="0001083A" w:rsidP="00A13375">
      <w:pPr>
        <w:numPr>
          <w:ilvl w:val="0"/>
          <w:numId w:val="35"/>
        </w:numPr>
        <w:jc w:val="both"/>
        <w:rPr>
          <w:i/>
        </w:rPr>
      </w:pPr>
      <w:r w:rsidRPr="0016727E">
        <w:rPr>
          <w:i/>
        </w:rPr>
        <w:t xml:space="preserve">The information was available but JASPERS did not find it </w:t>
      </w:r>
    </w:p>
    <w:p w:rsidR="0001083A" w:rsidRPr="0016727E" w:rsidRDefault="0001083A" w:rsidP="00DF5961">
      <w:pPr>
        <w:jc w:val="both"/>
        <w:rPr>
          <w:i/>
        </w:rPr>
      </w:pPr>
    </w:p>
    <w:p w:rsidR="0001083A" w:rsidRPr="0016727E" w:rsidRDefault="0001083A" w:rsidP="00DF5961">
      <w:pPr>
        <w:jc w:val="both"/>
        <w:rPr>
          <w:i/>
        </w:rPr>
      </w:pPr>
      <w:r w:rsidRPr="0016727E">
        <w:rPr>
          <w:i/>
        </w:rPr>
        <w:t xml:space="preserve">In this respect, in drafting the Completion Note we based our comments on the documents that will actually be presented as part of the Application and not on comments received on replies to Guidance Notes and past studies that are not referenced as attachments to the Application Form.  In most instances where this type of comment was made in the Completion Note referred to fundamental information that we (as was the case in all other applications in the Czech Republic) would expect to be included in the main body of the Application documents.  If this information is available we would have recommended that the Beneficiary includes this, in a simple and concise manner, in the relevant section of the Application Form.  This advice we have repeatedly given.  This would have resolved several of our identified outstanding issues.  However, we also note that in some instances, where reference is made in the response to the available data – the reference is not to the data / information that is actually missing; </w:t>
      </w:r>
    </w:p>
    <w:p w:rsidR="0001083A" w:rsidRPr="0016727E" w:rsidRDefault="0001083A" w:rsidP="00DF5961">
      <w:pPr>
        <w:jc w:val="both"/>
        <w:rPr>
          <w:i/>
        </w:rPr>
      </w:pPr>
    </w:p>
    <w:p w:rsidR="0001083A" w:rsidRPr="0016727E" w:rsidRDefault="0001083A" w:rsidP="00DF5961">
      <w:pPr>
        <w:jc w:val="both"/>
        <w:rPr>
          <w:i/>
        </w:rPr>
      </w:pPr>
      <w:r w:rsidRPr="0016727E">
        <w:rPr>
          <w:i/>
        </w:rPr>
        <w:t xml:space="preserve">2.  Technical differences </w:t>
      </w:r>
    </w:p>
    <w:p w:rsidR="0001083A" w:rsidRPr="0016727E" w:rsidRDefault="0001083A" w:rsidP="00DF5961">
      <w:pPr>
        <w:jc w:val="both"/>
        <w:rPr>
          <w:i/>
        </w:rPr>
      </w:pPr>
    </w:p>
    <w:p w:rsidR="0001083A" w:rsidRPr="0016727E" w:rsidRDefault="0001083A" w:rsidP="00DF5961">
      <w:pPr>
        <w:jc w:val="both"/>
        <w:rPr>
          <w:i/>
        </w:rPr>
      </w:pPr>
      <w:r w:rsidRPr="0016727E">
        <w:rPr>
          <w:i/>
        </w:rPr>
        <w:t>These largely remain those we have often discussed in the past. These include the purpose of option analysis (we noted in the Completion Report that the proposed project is closest to Option 3 – which is not one of the similar costs options identified in their response), capacity / loading of the plant (we and you have repeatedly mentioned 1.6 million PE) and possible technologies for the existing treatment plant (namely pre-precipitation that despite the identified problems highlighted in the Beneficiary’s response is proposed for the new line, but yet in the response this process is not a possible option for the existing line);</w:t>
      </w:r>
    </w:p>
    <w:p w:rsidR="0001083A" w:rsidRPr="0016727E" w:rsidRDefault="0001083A" w:rsidP="00DF5961">
      <w:pPr>
        <w:jc w:val="both"/>
        <w:rPr>
          <w:i/>
        </w:rPr>
      </w:pPr>
    </w:p>
    <w:p w:rsidR="0001083A" w:rsidRPr="0016727E" w:rsidRDefault="0001083A" w:rsidP="00DF5961">
      <w:pPr>
        <w:numPr>
          <w:ilvl w:val="0"/>
          <w:numId w:val="30"/>
        </w:numPr>
        <w:jc w:val="both"/>
        <w:rPr>
          <w:i/>
        </w:rPr>
      </w:pPr>
      <w:r w:rsidRPr="0016727E">
        <w:rPr>
          <w:i/>
        </w:rPr>
        <w:t xml:space="preserve">Inconsequential replies </w:t>
      </w:r>
    </w:p>
    <w:p w:rsidR="0001083A" w:rsidRPr="0016727E" w:rsidRDefault="0001083A" w:rsidP="00DF5961">
      <w:pPr>
        <w:ind w:left="360"/>
        <w:jc w:val="both"/>
        <w:rPr>
          <w:i/>
        </w:rPr>
      </w:pPr>
    </w:p>
    <w:p w:rsidR="001B550A" w:rsidRPr="0016727E" w:rsidRDefault="0001083A" w:rsidP="00DF5961">
      <w:pPr>
        <w:jc w:val="both"/>
        <w:rPr>
          <w:i/>
        </w:rPr>
      </w:pPr>
      <w:r w:rsidRPr="0016727E">
        <w:rPr>
          <w:i/>
        </w:rPr>
        <w:t>These mainly relates to comments on the financial analysis, for which the reply that we are obliged to use the FEA model should not be seen as appropriate in responding to comments relating to the issues concerning the specific output of the model for this project and the arising sustainability concerns.  (Our comments did not question the validity of the model itself).”</w:t>
      </w:r>
    </w:p>
    <w:p w:rsidR="001B550A" w:rsidRPr="0016727E" w:rsidRDefault="001B550A" w:rsidP="00DF5BBA"/>
    <w:p w:rsidR="0001083A" w:rsidRPr="0016727E" w:rsidRDefault="0001083A" w:rsidP="00DF5961">
      <w:pPr>
        <w:jc w:val="both"/>
      </w:pPr>
      <w:r w:rsidRPr="0016727E">
        <w:t>At the subsequent request of the Ministry of Environment, this Closure Note substantiates on the above generalised comments, with details provided based on the abovementioned areas of the JASPERS e</w:t>
      </w:r>
      <w:r w:rsidR="00C53C97" w:rsidRPr="0016727E">
        <w:t>mail</w:t>
      </w:r>
      <w:r w:rsidRPr="0016727E">
        <w:t xml:space="preserve">.  As </w:t>
      </w:r>
      <w:r w:rsidR="00BB1775" w:rsidRPr="0016727E">
        <w:t xml:space="preserve">a </w:t>
      </w:r>
      <w:r w:rsidRPr="0016727E">
        <w:t>result of JASPERS</w:t>
      </w:r>
      <w:r w:rsidR="00BB1775" w:rsidRPr="0016727E">
        <w:t>’</w:t>
      </w:r>
      <w:r w:rsidRPr="0016727E">
        <w:t xml:space="preserve"> opinion and the received comments</w:t>
      </w:r>
      <w:r w:rsidR="00C53C97" w:rsidRPr="0016727E">
        <w:t>,</w:t>
      </w:r>
      <w:r w:rsidRPr="0016727E">
        <w:t xml:space="preserve"> it is understood that the proposed project w</w:t>
      </w:r>
      <w:r w:rsidR="00C53C97" w:rsidRPr="0016727E">
        <w:t>ill</w:t>
      </w:r>
      <w:r w:rsidRPr="0016727E">
        <w:t xml:space="preserve"> not be submitted for financial support from the 2007 -</w:t>
      </w:r>
      <w:r w:rsidR="00556B6F" w:rsidRPr="0016727E">
        <w:t xml:space="preserve"> </w:t>
      </w:r>
      <w:r w:rsidRPr="0016727E">
        <w:t xml:space="preserve">2013 Cohesion Fund Operational Programme.  </w:t>
      </w:r>
    </w:p>
    <w:p w:rsidR="0001083A" w:rsidRPr="0016727E" w:rsidRDefault="0001083A" w:rsidP="00DF5BBA"/>
    <w:p w:rsidR="0001083A" w:rsidRPr="0016727E" w:rsidRDefault="0001083A" w:rsidP="0016727E">
      <w:pPr>
        <w:widowControl w:val="0"/>
        <w:numPr>
          <w:ilvl w:val="0"/>
          <w:numId w:val="2"/>
        </w:numPr>
        <w:jc w:val="both"/>
        <w:rPr>
          <w:b/>
        </w:rPr>
      </w:pPr>
      <w:r w:rsidRPr="0016727E">
        <w:rPr>
          <w:b/>
        </w:rPr>
        <w:t>Detailed Justification</w:t>
      </w:r>
    </w:p>
    <w:p w:rsidR="0001083A" w:rsidRPr="0016727E" w:rsidRDefault="0001083A" w:rsidP="00342705">
      <w:pPr>
        <w:widowControl w:val="0"/>
      </w:pPr>
    </w:p>
    <w:p w:rsidR="0001083A" w:rsidRPr="0016727E" w:rsidRDefault="0001083A" w:rsidP="00342705">
      <w:pPr>
        <w:widowControl w:val="0"/>
        <w:numPr>
          <w:ilvl w:val="0"/>
          <w:numId w:val="31"/>
        </w:numPr>
        <w:rPr>
          <w:b/>
        </w:rPr>
      </w:pPr>
      <w:r w:rsidRPr="0016727E">
        <w:rPr>
          <w:b/>
        </w:rPr>
        <w:t>Project Objectives</w:t>
      </w:r>
    </w:p>
    <w:p w:rsidR="0001083A" w:rsidRPr="0016727E" w:rsidRDefault="0001083A" w:rsidP="00342705">
      <w:pPr>
        <w:widowControl w:val="0"/>
      </w:pPr>
    </w:p>
    <w:p w:rsidR="0001083A" w:rsidRPr="0016727E" w:rsidRDefault="0001083A" w:rsidP="00342705">
      <w:pPr>
        <w:widowControl w:val="0"/>
        <w:jc w:val="both"/>
      </w:pPr>
      <w:r w:rsidRPr="0016727E">
        <w:t>The responses to the three significant outstanding issues</w:t>
      </w:r>
      <w:r w:rsidR="00F54D09" w:rsidRPr="0016727E">
        <w:t xml:space="preserve"> under this section</w:t>
      </w:r>
      <w:r w:rsidRPr="0016727E">
        <w:t xml:space="preserve"> are not seen </w:t>
      </w:r>
      <w:r w:rsidR="00590C9A" w:rsidRPr="0016727E">
        <w:t xml:space="preserve">as </w:t>
      </w:r>
      <w:r w:rsidRPr="0016727E">
        <w:t>sufficient to change JASPERS</w:t>
      </w:r>
      <w:r w:rsidR="002215F9" w:rsidRPr="0016727E">
        <w:t>’</w:t>
      </w:r>
      <w:r w:rsidRPr="0016727E">
        <w:t xml:space="preserve"> posit</w:t>
      </w:r>
      <w:r w:rsidR="00A20BB2" w:rsidRPr="0016727E">
        <w:t>ion:</w:t>
      </w:r>
    </w:p>
    <w:p w:rsidR="00A20BB2" w:rsidRPr="0016727E" w:rsidRDefault="00A20BB2" w:rsidP="00342705">
      <w:pPr>
        <w:widowControl w:val="0"/>
        <w:jc w:val="both"/>
      </w:pPr>
    </w:p>
    <w:p w:rsidR="00A20BB2" w:rsidRPr="0016727E" w:rsidRDefault="00A20BB2" w:rsidP="00342705">
      <w:pPr>
        <w:widowControl w:val="0"/>
        <w:numPr>
          <w:ilvl w:val="0"/>
          <w:numId w:val="32"/>
        </w:numPr>
        <w:jc w:val="both"/>
      </w:pPr>
      <w:r w:rsidRPr="0016727E">
        <w:t>Although it is recognised that the current CWWTP does not meet the requirements of the Urban Wastewater Directive, th</w:t>
      </w:r>
      <w:r w:rsidR="00590C9A" w:rsidRPr="0016727E">
        <w:t>e supporting</w:t>
      </w:r>
      <w:r w:rsidRPr="0016727E">
        <w:t xml:space="preserve"> information continues not to be made available.  The stated reference in the </w:t>
      </w:r>
      <w:r w:rsidR="00C53C97" w:rsidRPr="0016727E">
        <w:t>Beneficiary response</w:t>
      </w:r>
      <w:r w:rsidRPr="0016727E">
        <w:t xml:space="preserve"> </w:t>
      </w:r>
      <w:r w:rsidR="008117E0" w:rsidRPr="0016727E">
        <w:t xml:space="preserve">mainly </w:t>
      </w:r>
      <w:r w:rsidR="004162B3" w:rsidRPr="0016727E">
        <w:t xml:space="preserve">provides information on </w:t>
      </w:r>
      <w:r w:rsidRPr="0016727E">
        <w:t xml:space="preserve">the incoming load and not </w:t>
      </w:r>
      <w:r w:rsidR="00C53C97" w:rsidRPr="0016727E">
        <w:t xml:space="preserve">to the </w:t>
      </w:r>
      <w:r w:rsidR="004162B3" w:rsidRPr="0016727E">
        <w:t>sufficien</w:t>
      </w:r>
      <w:r w:rsidR="00E775C7" w:rsidRPr="0016727E">
        <w:t>cy</w:t>
      </w:r>
      <w:r w:rsidR="004162B3" w:rsidRPr="0016727E">
        <w:t xml:space="preserve"> </w:t>
      </w:r>
      <w:r w:rsidR="00C53C97" w:rsidRPr="0016727E">
        <w:t xml:space="preserve">of </w:t>
      </w:r>
      <w:r w:rsidRPr="0016727E">
        <w:t>treated effluent discharges</w:t>
      </w:r>
      <w:r w:rsidR="004162B3" w:rsidRPr="0016727E">
        <w:t xml:space="preserve"> to demonstrate non</w:t>
      </w:r>
      <w:r w:rsidR="002215F9" w:rsidRPr="0016727E">
        <w:t>-</w:t>
      </w:r>
      <w:r w:rsidR="004162B3" w:rsidRPr="0016727E">
        <w:t>compliance</w:t>
      </w:r>
      <w:r w:rsidRPr="0016727E">
        <w:t>.</w:t>
      </w:r>
      <w:r w:rsidR="008117E0" w:rsidRPr="0016727E">
        <w:t xml:space="preserve"> </w:t>
      </w:r>
      <w:r w:rsidRPr="0016727E">
        <w:t xml:space="preserve"> This information is </w:t>
      </w:r>
      <w:r w:rsidRPr="0016727E">
        <w:lastRenderedPageBreak/>
        <w:t>required to establish (i) the overall project’</w:t>
      </w:r>
      <w:r w:rsidR="00E775C7" w:rsidRPr="0016727E">
        <w:t>s</w:t>
      </w:r>
      <w:r w:rsidRPr="0016727E">
        <w:t xml:space="preserve"> need and (ii) the magnitude of the problems to allow opinions </w:t>
      </w:r>
      <w:r w:rsidR="00590C9A" w:rsidRPr="0016727E">
        <w:t xml:space="preserve">to be made </w:t>
      </w:r>
      <w:r w:rsidRPr="0016727E">
        <w:t xml:space="preserve">on the appropriateness of the technical solution.  The issue could have been simply resolved by </w:t>
      </w:r>
      <w:r w:rsidR="00590C9A" w:rsidRPr="0016727E">
        <w:t xml:space="preserve">the </w:t>
      </w:r>
      <w:r w:rsidRPr="0016727E">
        <w:t>inclusion of data showing effluent discharge level</w:t>
      </w:r>
      <w:r w:rsidR="00C53C97" w:rsidRPr="0016727E">
        <w:t>s</w:t>
      </w:r>
      <w:r w:rsidRPr="0016727E">
        <w:t xml:space="preserve"> for the required pollution indicator parameters that have been achieved in recent years;</w:t>
      </w:r>
    </w:p>
    <w:p w:rsidR="00A20BB2" w:rsidRPr="0016727E" w:rsidRDefault="00A20BB2" w:rsidP="00DF5961">
      <w:pPr>
        <w:jc w:val="both"/>
      </w:pPr>
    </w:p>
    <w:p w:rsidR="00A20BB2" w:rsidRPr="0016727E" w:rsidRDefault="00A20BB2" w:rsidP="002A6596">
      <w:pPr>
        <w:numPr>
          <w:ilvl w:val="0"/>
          <w:numId w:val="32"/>
        </w:numPr>
        <w:jc w:val="both"/>
      </w:pPr>
      <w:r w:rsidRPr="0016727E">
        <w:t xml:space="preserve">The Application Documents state that compliance with the Urban Wastewater Directive is only possible after the completion of the new line and reconstruction of the existing line.  Concerning </w:t>
      </w:r>
      <w:r w:rsidR="00DF5961" w:rsidRPr="0016727E">
        <w:t xml:space="preserve">the </w:t>
      </w:r>
      <w:r w:rsidRPr="0016727E">
        <w:t>rehabilitation of the existing line, no design</w:t>
      </w:r>
      <w:r w:rsidR="00E775C7" w:rsidRPr="0016727E">
        <w:t xml:space="preserve"> details</w:t>
      </w:r>
      <w:r w:rsidRPr="0016727E">
        <w:t xml:space="preserve"> are </w:t>
      </w:r>
      <w:r w:rsidR="00E775C7" w:rsidRPr="0016727E">
        <w:t xml:space="preserve">made </w:t>
      </w:r>
      <w:r w:rsidRPr="0016727E">
        <w:t xml:space="preserve">available and implementation commitment is only supported by a general letter of intent from the City of Prague that </w:t>
      </w:r>
      <w:r w:rsidR="000C3016" w:rsidRPr="0016727E">
        <w:t>n</w:t>
      </w:r>
      <w:r w:rsidRPr="0016727E">
        <w:t xml:space="preserve">either includes a schedule for implementation, an indication of what is </w:t>
      </w:r>
      <w:r w:rsidR="000C3016" w:rsidRPr="0016727E">
        <w:t>proposed</w:t>
      </w:r>
      <w:r w:rsidR="002215F9" w:rsidRPr="0016727E">
        <w:t>,</w:t>
      </w:r>
      <w:r w:rsidRPr="0016727E">
        <w:t xml:space="preserve"> nor reference</w:t>
      </w:r>
      <w:r w:rsidR="00590C9A" w:rsidRPr="0016727E">
        <w:t>s</w:t>
      </w:r>
      <w:r w:rsidRPr="0016727E">
        <w:t xml:space="preserve"> the potential cost and financing requirements.  </w:t>
      </w:r>
      <w:r w:rsidR="000C3016" w:rsidRPr="0016727E">
        <w:t xml:space="preserve">The responses do not provide any further information, and continue to support the </w:t>
      </w:r>
      <w:r w:rsidR="00E775C7" w:rsidRPr="0016727E">
        <w:t xml:space="preserve">claimed </w:t>
      </w:r>
      <w:r w:rsidR="000C3016" w:rsidRPr="0016727E">
        <w:t>sufficiency of the previous information</w:t>
      </w:r>
      <w:r w:rsidR="00DA4FED" w:rsidRPr="0016727E">
        <w:t xml:space="preserve"> (Appendix E.4 – that is not explicitly referenced in the original documents)</w:t>
      </w:r>
      <w:r w:rsidR="000C3016" w:rsidRPr="0016727E">
        <w:t xml:space="preserve">.  An implementation schedule and full financial commitment of the City to a known amount </w:t>
      </w:r>
      <w:r w:rsidR="00DF5961" w:rsidRPr="0016727E">
        <w:t xml:space="preserve">and confirmed design / capacity </w:t>
      </w:r>
      <w:r w:rsidR="000C3016" w:rsidRPr="0016727E">
        <w:t xml:space="preserve">would partially overcome this issue.  </w:t>
      </w:r>
    </w:p>
    <w:p w:rsidR="0001083A" w:rsidRPr="0016727E" w:rsidRDefault="0001083A" w:rsidP="00DF5BBA"/>
    <w:p w:rsidR="000C3016" w:rsidRPr="0016727E" w:rsidRDefault="000C3016" w:rsidP="002A6596">
      <w:pPr>
        <w:numPr>
          <w:ilvl w:val="0"/>
          <w:numId w:val="32"/>
        </w:numPr>
        <w:jc w:val="both"/>
      </w:pPr>
      <w:r w:rsidRPr="0016727E">
        <w:t>Concerning the possibly of obtaining a temporary derogation for effluent discharges that could allow other development options to be explored, the argument that this would not be permitted by the State Authorities is reiterated</w:t>
      </w:r>
      <w:r w:rsidR="00DF5961" w:rsidRPr="0016727E">
        <w:t xml:space="preserve"> within the responses</w:t>
      </w:r>
      <w:r w:rsidRPr="0016727E">
        <w:t xml:space="preserve">.  </w:t>
      </w:r>
      <w:r w:rsidR="00DA4FED" w:rsidRPr="0016727E">
        <w:t xml:space="preserve">Within the </w:t>
      </w:r>
      <w:r w:rsidR="00B153FB" w:rsidRPr="0016727E">
        <w:t>D</w:t>
      </w:r>
      <w:r w:rsidR="00DA4FED" w:rsidRPr="0016727E">
        <w:t xml:space="preserve">ocumentation, (i) no evidence of this opinion is provided and </w:t>
      </w:r>
      <w:r w:rsidR="00C53C97" w:rsidRPr="0016727E">
        <w:t xml:space="preserve">more importantly </w:t>
      </w:r>
      <w:r w:rsidR="00DA4FED" w:rsidRPr="0016727E">
        <w:t>(ii) an analysis of potential impacts to the Vltava is not provided.  Since the granting of temporary derogations is a standard international practice, JASPERS had previously advocated th</w:t>
      </w:r>
      <w:r w:rsidR="00DF5961" w:rsidRPr="0016727E">
        <w:t>at</w:t>
      </w:r>
      <w:r w:rsidR="00DA4FED" w:rsidRPr="0016727E">
        <w:t xml:space="preserve"> potential engineering scenarios where derogations would have been required should have been examined together with an analysis of impact </w:t>
      </w:r>
      <w:r w:rsidR="002215F9" w:rsidRPr="0016727E">
        <w:t>on</w:t>
      </w:r>
      <w:r w:rsidR="00DA4FED" w:rsidRPr="0016727E">
        <w:t xml:space="preserve"> the Vltava </w:t>
      </w:r>
      <w:r w:rsidR="00B153FB" w:rsidRPr="0016727E">
        <w:t>R</w:t>
      </w:r>
      <w:r w:rsidR="00DA4FED" w:rsidRPr="0016727E">
        <w:t xml:space="preserve">iver.  </w:t>
      </w:r>
    </w:p>
    <w:p w:rsidR="0001083A" w:rsidRPr="0016727E" w:rsidRDefault="0001083A" w:rsidP="00DF5BBA"/>
    <w:p w:rsidR="00DA4FED" w:rsidRPr="0016727E" w:rsidRDefault="00DA4FED" w:rsidP="00DA4FED">
      <w:pPr>
        <w:numPr>
          <w:ilvl w:val="0"/>
          <w:numId w:val="31"/>
        </w:numPr>
        <w:rPr>
          <w:b/>
        </w:rPr>
      </w:pPr>
      <w:r w:rsidRPr="0016727E">
        <w:rPr>
          <w:b/>
        </w:rPr>
        <w:t>Option Analysis</w:t>
      </w:r>
    </w:p>
    <w:p w:rsidR="00DA4FED" w:rsidRPr="0016727E" w:rsidRDefault="00DA4FED" w:rsidP="00DF5BBA"/>
    <w:p w:rsidR="001656F1" w:rsidRPr="0016727E" w:rsidRDefault="001656F1" w:rsidP="001656F1">
      <w:pPr>
        <w:jc w:val="both"/>
      </w:pPr>
      <w:r w:rsidRPr="0016727E">
        <w:t xml:space="preserve">The responses to the </w:t>
      </w:r>
      <w:r w:rsidR="00330DB7" w:rsidRPr="0016727E">
        <w:t>raised</w:t>
      </w:r>
      <w:r w:rsidRPr="0016727E">
        <w:t xml:space="preserve"> significant outstanding issues are not seen sufficient to change JASPERS</w:t>
      </w:r>
      <w:r w:rsidR="00B153FB" w:rsidRPr="0016727E">
        <w:t>’</w:t>
      </w:r>
      <w:r w:rsidRPr="0016727E">
        <w:t xml:space="preserve"> position:</w:t>
      </w:r>
    </w:p>
    <w:p w:rsidR="00DA4FED" w:rsidRPr="0016727E" w:rsidRDefault="00DA4FED" w:rsidP="00DF5BBA"/>
    <w:p w:rsidR="001656F1" w:rsidRPr="0016727E" w:rsidRDefault="00330DB7" w:rsidP="002A6596">
      <w:pPr>
        <w:numPr>
          <w:ilvl w:val="0"/>
          <w:numId w:val="32"/>
        </w:numPr>
        <w:jc w:val="both"/>
      </w:pPr>
      <w:r w:rsidRPr="0016727E">
        <w:t>No arguments are presented in the response to counteract the JASPERS</w:t>
      </w:r>
      <w:r w:rsidR="00B153FB" w:rsidRPr="0016727E">
        <w:t>’</w:t>
      </w:r>
      <w:r w:rsidRPr="0016727E">
        <w:t xml:space="preserve"> option (based on information in the Application Documents) that on a </w:t>
      </w:r>
      <w:r w:rsidR="00BA1C25" w:rsidRPr="0016727E">
        <w:t xml:space="preserve">per </w:t>
      </w:r>
      <w:r w:rsidRPr="0016727E">
        <w:t>unit cost basis</w:t>
      </w:r>
      <w:r w:rsidR="00B153FB" w:rsidRPr="0016727E">
        <w:t>,</w:t>
      </w:r>
      <w:r w:rsidRPr="0016727E">
        <w:t xml:space="preserve"> rehabilitation of the existing line is a more cost effective solution than construction of a new line, within the reasonable capacity </w:t>
      </w:r>
      <w:r w:rsidR="00BA1C25" w:rsidRPr="0016727E">
        <w:t xml:space="preserve">limits </w:t>
      </w:r>
      <w:r w:rsidRPr="0016727E">
        <w:t>of</w:t>
      </w:r>
      <w:r w:rsidR="00BA1C25" w:rsidRPr="0016727E">
        <w:t xml:space="preserve"> the existing line. </w:t>
      </w:r>
      <w:r w:rsidR="004F4B32" w:rsidRPr="0016727E">
        <w:t xml:space="preserve"> </w:t>
      </w:r>
      <w:r w:rsidR="00BA1C25" w:rsidRPr="0016727E">
        <w:t xml:space="preserve">This issue therefore remains open.  </w:t>
      </w:r>
      <w:r w:rsidRPr="0016727E">
        <w:t xml:space="preserve"> </w:t>
      </w:r>
    </w:p>
    <w:p w:rsidR="001656F1" w:rsidRPr="0016727E" w:rsidRDefault="001656F1" w:rsidP="001656F1">
      <w:pPr>
        <w:jc w:val="both"/>
      </w:pPr>
    </w:p>
    <w:p w:rsidR="00BA1C25" w:rsidRPr="0016727E" w:rsidRDefault="00BA1C25" w:rsidP="002A6596">
      <w:pPr>
        <w:numPr>
          <w:ilvl w:val="0"/>
          <w:numId w:val="32"/>
        </w:numPr>
        <w:jc w:val="both"/>
      </w:pPr>
      <w:r w:rsidRPr="0016727E">
        <w:t>The JASPERS</w:t>
      </w:r>
      <w:r w:rsidR="00B153FB" w:rsidRPr="0016727E">
        <w:t>’</w:t>
      </w:r>
      <w:r w:rsidRPr="0016727E">
        <w:t xml:space="preserve"> comment relates to the comprehensiveness of the options examined within the agreed framework of allocation of capacities between the new and existing lines to meet the required total capacity.  Since the use of pre-precipitation (a</w:t>
      </w:r>
      <w:r w:rsidR="00C53C97" w:rsidRPr="0016727E">
        <w:t>s</w:t>
      </w:r>
      <w:r w:rsidRPr="0016727E">
        <w:t xml:space="preserve"> currently employed in the Prague CWWTP and proposed for the new water line) and temporary discharge derogations are standard (international) practices, it is considered logical that these potential options should be examined in an option analysis.  Such inclusion would increase confidence in determining the appropriateness of the</w:t>
      </w:r>
      <w:r w:rsidR="00741C87">
        <w:t xml:space="preserve"> ultimately</w:t>
      </w:r>
      <w:r w:rsidRPr="0016727E">
        <w:t>selected option.  Therefore</w:t>
      </w:r>
      <w:r w:rsidR="00C4090E" w:rsidRPr="0016727E">
        <w:t>,</w:t>
      </w:r>
      <w:r w:rsidRPr="0016727E">
        <w:t xml:space="preserve"> without examination of these realistic scenarios, a judgement on the appropriateness of the selected option cannot be made.  The continued </w:t>
      </w:r>
      <w:r w:rsidR="002A6596" w:rsidRPr="0016727E">
        <w:t>absence</w:t>
      </w:r>
      <w:r w:rsidRPr="0016727E">
        <w:t xml:space="preserve"> </w:t>
      </w:r>
      <w:r w:rsidR="002A6596" w:rsidRPr="0016727E">
        <w:t xml:space="preserve">in the responses of an </w:t>
      </w:r>
      <w:r w:rsidRPr="0016727E">
        <w:t>evaluat</w:t>
      </w:r>
      <w:r w:rsidR="002A6596" w:rsidRPr="0016727E">
        <w:t>ion of</w:t>
      </w:r>
      <w:r w:rsidRPr="0016727E">
        <w:t xml:space="preserve"> these options means that this issue must also remain open.  </w:t>
      </w:r>
    </w:p>
    <w:p w:rsidR="00BA1C25" w:rsidRPr="0016727E" w:rsidRDefault="00BA1C25" w:rsidP="001656F1">
      <w:pPr>
        <w:jc w:val="both"/>
      </w:pPr>
    </w:p>
    <w:p w:rsidR="00BA1C25" w:rsidRPr="0016727E" w:rsidRDefault="00741C87" w:rsidP="00167E0B">
      <w:pPr>
        <w:numPr>
          <w:ilvl w:val="0"/>
          <w:numId w:val="32"/>
        </w:numPr>
        <w:jc w:val="both"/>
      </w:pPr>
      <w:r>
        <w:t>T</w:t>
      </w:r>
      <w:r w:rsidR="00BA1C25" w:rsidRPr="0016727E">
        <w:t>here remains a difference of opinion whether a treatment plant should be designed for the monthly maximum demand or annual average.  This difference</w:t>
      </w:r>
      <w:r w:rsidR="003933F7" w:rsidRPr="0016727E">
        <w:t xml:space="preserve"> in opinion</w:t>
      </w:r>
      <w:r w:rsidR="00BA1C25" w:rsidRPr="0016727E">
        <w:t xml:space="preserve"> </w:t>
      </w:r>
      <w:r w:rsidR="002A6596" w:rsidRPr="0016727E">
        <w:t xml:space="preserve">is probably the basis </w:t>
      </w:r>
      <w:r w:rsidR="00BA1C25" w:rsidRPr="0016727E">
        <w:t xml:space="preserve">for the differences in estimated capacity </w:t>
      </w:r>
      <w:r w:rsidR="00C4090E" w:rsidRPr="0016727E">
        <w:t xml:space="preserve">(JASPERS and Beneficiary) </w:t>
      </w:r>
      <w:r w:rsidR="00BA1C25" w:rsidRPr="0016727E">
        <w:t>for the new water line</w:t>
      </w:r>
      <w:r w:rsidR="00C9053E" w:rsidRPr="0016727E">
        <w:t>.  However,</w:t>
      </w:r>
      <w:r w:rsidR="00BA1C25" w:rsidRPr="0016727E">
        <w:t xml:space="preserve"> </w:t>
      </w:r>
      <w:r w:rsidR="00C4090E" w:rsidRPr="0016727E">
        <w:t>it would not appear applicable to differences in estimated capacity of the proposed rehabilitated existing line under the five different options</w:t>
      </w:r>
      <w:r w:rsidR="00B153FB" w:rsidRPr="0016727E">
        <w:t>,</w:t>
      </w:r>
      <w:r w:rsidR="00C4090E" w:rsidRPr="0016727E">
        <w:t xml:space="preserve"> for which no </w:t>
      </w:r>
      <w:r w:rsidR="003933F7" w:rsidRPr="0016727E">
        <w:t xml:space="preserve">additional </w:t>
      </w:r>
      <w:r w:rsidR="00C4090E" w:rsidRPr="0016727E">
        <w:t xml:space="preserve">explanations are provided in the response.  Concerning the new line, it can be noted that discharge compliance standards </w:t>
      </w:r>
      <w:r w:rsidR="00C9053E" w:rsidRPr="0016727E">
        <w:t xml:space="preserve">in the Urban Wastewater Directive for nitrogen and phosphorus </w:t>
      </w:r>
      <w:r w:rsidR="00C4090E" w:rsidRPr="0016727E">
        <w:t>are determined on an annual average and that design</w:t>
      </w:r>
      <w:r w:rsidR="00143C21" w:rsidRPr="0016727E">
        <w:t>ing</w:t>
      </w:r>
      <w:r w:rsidR="00C4090E" w:rsidRPr="0016727E">
        <w:t xml:space="preserve"> to a maximum is less cost effective since this additional capacity would remain </w:t>
      </w:r>
      <w:r w:rsidR="00C9053E" w:rsidRPr="0016727E">
        <w:t>un</w:t>
      </w:r>
      <w:r w:rsidR="00C4090E" w:rsidRPr="0016727E">
        <w:t xml:space="preserve">utilised for the majority of periods of operation.  </w:t>
      </w:r>
    </w:p>
    <w:p w:rsidR="00C4090E" w:rsidRPr="0016727E" w:rsidRDefault="00C4090E" w:rsidP="00167E0B">
      <w:pPr>
        <w:pStyle w:val="ListParagraph"/>
      </w:pPr>
    </w:p>
    <w:p w:rsidR="00C9053E" w:rsidRPr="0016727E" w:rsidRDefault="00C9053E" w:rsidP="00167E0B">
      <w:pPr>
        <w:numPr>
          <w:ilvl w:val="0"/>
          <w:numId w:val="32"/>
        </w:numPr>
        <w:jc w:val="both"/>
      </w:pPr>
      <w:r w:rsidRPr="0016727E">
        <w:t>Concerning possible discrepancies in the capital and operating costs used in the option analysis</w:t>
      </w:r>
      <w:r w:rsidR="000905A3" w:rsidRPr="0016727E">
        <w:t>:</w:t>
      </w:r>
      <w:r w:rsidRPr="0016727E">
        <w:t xml:space="preserve"> </w:t>
      </w:r>
    </w:p>
    <w:p w:rsidR="00C9053E" w:rsidRPr="0016727E" w:rsidRDefault="00C9053E" w:rsidP="00167E0B">
      <w:pPr>
        <w:pStyle w:val="ListParagraph"/>
      </w:pPr>
    </w:p>
    <w:p w:rsidR="00C9053E" w:rsidRPr="0016727E" w:rsidRDefault="00C9053E" w:rsidP="00167E0B">
      <w:pPr>
        <w:numPr>
          <w:ilvl w:val="1"/>
          <w:numId w:val="32"/>
        </w:numPr>
        <w:jc w:val="both"/>
      </w:pPr>
      <w:r w:rsidRPr="0016727E">
        <w:t xml:space="preserve">the responses do not provide explanations for the underlying assumptions used to determine the cost of the new line in the various options.  </w:t>
      </w:r>
    </w:p>
    <w:p w:rsidR="00C4090E" w:rsidRPr="0016727E" w:rsidRDefault="00C9053E" w:rsidP="00167E0B">
      <w:pPr>
        <w:numPr>
          <w:ilvl w:val="1"/>
          <w:numId w:val="32"/>
        </w:numPr>
        <w:jc w:val="both"/>
      </w:pPr>
      <w:r w:rsidRPr="0016727E">
        <w:t xml:space="preserve">the possible discrepancies for the existing line appear to </w:t>
      </w:r>
      <w:r w:rsidR="00A13375" w:rsidRPr="0016727E">
        <w:t xml:space="preserve">(partially) </w:t>
      </w:r>
      <w:r w:rsidRPr="0016727E">
        <w:t xml:space="preserve">relate to VAT assumptions, with the quoted cost in the Feasibility Study </w:t>
      </w:r>
      <w:r w:rsidR="00A13375" w:rsidRPr="0016727E">
        <w:t xml:space="preserve">stated as </w:t>
      </w:r>
      <w:r w:rsidRPr="0016727E">
        <w:t xml:space="preserve">excluding VAT, the </w:t>
      </w:r>
      <w:r w:rsidR="00A13375" w:rsidRPr="0016727E">
        <w:lastRenderedPageBreak/>
        <w:t xml:space="preserve">same </w:t>
      </w:r>
      <w:r w:rsidRPr="0016727E">
        <w:t xml:space="preserve">cost in the Application Form is ambiguous whether VAT is included or excluded and the Beneficiary’s response where VAT is </w:t>
      </w:r>
      <w:r w:rsidR="00A13375" w:rsidRPr="0016727E">
        <w:t xml:space="preserve">stated as </w:t>
      </w:r>
      <w:r w:rsidRPr="0016727E">
        <w:t>included</w:t>
      </w:r>
      <w:r w:rsidR="00A13375" w:rsidRPr="0016727E">
        <w:t xml:space="preserve"> in the cost</w:t>
      </w:r>
      <w:r w:rsidRPr="0016727E">
        <w:t xml:space="preserve">.  </w:t>
      </w:r>
    </w:p>
    <w:p w:rsidR="00C9053E" w:rsidRPr="0016727E" w:rsidRDefault="00C9053E" w:rsidP="00167E0B">
      <w:pPr>
        <w:numPr>
          <w:ilvl w:val="1"/>
          <w:numId w:val="32"/>
        </w:numPr>
        <w:jc w:val="both"/>
      </w:pPr>
      <w:r w:rsidRPr="0016727E">
        <w:t>the provided explanation that the differences in operating costs (between option and financial analysis) are related to the inclusion of other items (labour</w:t>
      </w:r>
      <w:r w:rsidR="009928EA" w:rsidRPr="0016727E">
        <w:t>,</w:t>
      </w:r>
      <w:r w:rsidRPr="0016727E">
        <w:t xml:space="preserve"> </w:t>
      </w:r>
      <w:r w:rsidR="009928EA" w:rsidRPr="0016727E">
        <w:t>m</w:t>
      </w:r>
      <w:r w:rsidRPr="0016727E">
        <w:t xml:space="preserve">aterials </w:t>
      </w:r>
      <w:r w:rsidR="00082AE0">
        <w:t xml:space="preserve">and </w:t>
      </w:r>
      <w:r w:rsidR="009928EA" w:rsidRPr="0016727E">
        <w:t>repairs) is not relevant since both costs quoted in the JASPERS</w:t>
      </w:r>
      <w:r w:rsidR="000905A3" w:rsidRPr="0016727E">
        <w:t>’</w:t>
      </w:r>
      <w:r w:rsidR="009928EA" w:rsidRPr="0016727E">
        <w:t xml:space="preserve"> </w:t>
      </w:r>
      <w:r w:rsidR="000905A3" w:rsidRPr="0016727E">
        <w:t>D</w:t>
      </w:r>
      <w:r w:rsidR="009928EA" w:rsidRPr="0016727E">
        <w:t xml:space="preserve">raft </w:t>
      </w:r>
      <w:r w:rsidR="000905A3" w:rsidRPr="0016727E">
        <w:t>C</w:t>
      </w:r>
      <w:r w:rsidR="009928EA" w:rsidRPr="0016727E">
        <w:t xml:space="preserve">ompletion </w:t>
      </w:r>
      <w:r w:rsidR="000905A3" w:rsidRPr="0016727E">
        <w:t>N</w:t>
      </w:r>
      <w:r w:rsidR="009928EA" w:rsidRPr="0016727E">
        <w:t>ote are only for chemical and electricity</w:t>
      </w:r>
      <w:r w:rsidR="00C53C97" w:rsidRPr="0016727E">
        <w:t xml:space="preserve"> costs</w:t>
      </w:r>
      <w:r w:rsidR="009928EA" w:rsidRPr="0016727E">
        <w:t xml:space="preserve">.  </w:t>
      </w:r>
    </w:p>
    <w:p w:rsidR="009928EA" w:rsidRPr="0016727E" w:rsidRDefault="009928EA" w:rsidP="00167E0B">
      <w:pPr>
        <w:ind w:left="360"/>
        <w:jc w:val="both"/>
      </w:pPr>
    </w:p>
    <w:p w:rsidR="009928EA" w:rsidRPr="0016727E" w:rsidRDefault="009928EA" w:rsidP="00167E0B">
      <w:pPr>
        <w:ind w:left="360"/>
        <w:jc w:val="both"/>
      </w:pPr>
      <w:r w:rsidRPr="0016727E">
        <w:t xml:space="preserve">A review of </w:t>
      </w:r>
      <w:r w:rsidR="00A13375" w:rsidRPr="0016727E">
        <w:t xml:space="preserve">the </w:t>
      </w:r>
      <w:r w:rsidRPr="0016727E">
        <w:t>actual costs used in the respective analysis together with a better and more careful presentation of underlying assumptions and breakdown of costs (throughout the documentation) can easily resolve this issue.  Until the</w:t>
      </w:r>
      <w:r w:rsidR="00290465" w:rsidRPr="0016727E">
        <w:t>se</w:t>
      </w:r>
      <w:r w:rsidRPr="0016727E">
        <w:t xml:space="preserve"> difference</w:t>
      </w:r>
      <w:r w:rsidR="003443B0" w:rsidRPr="0016727E">
        <w:t>s</w:t>
      </w:r>
      <w:r w:rsidRPr="0016727E">
        <w:t xml:space="preserve"> are resolved, this issue should also remain open.  </w:t>
      </w:r>
    </w:p>
    <w:p w:rsidR="009F65E0" w:rsidRPr="0016727E" w:rsidRDefault="009F65E0" w:rsidP="00DF5BBA"/>
    <w:p w:rsidR="00DA4FED" w:rsidRPr="0016727E" w:rsidRDefault="00DA4FED" w:rsidP="00DA4FED">
      <w:pPr>
        <w:numPr>
          <w:ilvl w:val="0"/>
          <w:numId w:val="31"/>
        </w:numPr>
        <w:rPr>
          <w:b/>
        </w:rPr>
      </w:pPr>
      <w:r w:rsidRPr="0016727E">
        <w:rPr>
          <w:b/>
        </w:rPr>
        <w:t>Technical Aspects</w:t>
      </w:r>
    </w:p>
    <w:p w:rsidR="00DA4FED" w:rsidRPr="0016727E" w:rsidRDefault="00DA4FED" w:rsidP="00DF5BBA"/>
    <w:p w:rsidR="00C320E4" w:rsidRPr="0016727E" w:rsidRDefault="00741C87" w:rsidP="00C320E4">
      <w:pPr>
        <w:jc w:val="both"/>
      </w:pPr>
      <w:r>
        <w:t>Any a</w:t>
      </w:r>
      <w:r w:rsidR="00F64ADF" w:rsidRPr="0016727E">
        <w:t xml:space="preserve">greement on the appropriateness of the technical aspects relies on </w:t>
      </w:r>
      <w:r>
        <w:t xml:space="preserve">the </w:t>
      </w:r>
      <w:r w:rsidR="00F64ADF" w:rsidRPr="0016727E">
        <w:t xml:space="preserve">acceptance </w:t>
      </w:r>
      <w:r w:rsidR="00290465" w:rsidRPr="0016727E">
        <w:t xml:space="preserve">on the general principle </w:t>
      </w:r>
      <w:r w:rsidR="00F64ADF" w:rsidRPr="0016727E">
        <w:t>that an optimum solution from the option analysis has been taken forward.  As highlighted above, this has not been adequately proven.  Against this non</w:t>
      </w:r>
      <w:r w:rsidR="00526A9E" w:rsidRPr="0016727E">
        <w:t>-</w:t>
      </w:r>
      <w:r w:rsidR="00F64ADF" w:rsidRPr="0016727E">
        <w:t>committal background, t</w:t>
      </w:r>
      <w:r w:rsidR="00C320E4" w:rsidRPr="0016727E">
        <w:t xml:space="preserve">he </w:t>
      </w:r>
      <w:r w:rsidR="00F64ADF" w:rsidRPr="0016727E">
        <w:t>arguments presented in the Beneficiary</w:t>
      </w:r>
      <w:r w:rsidR="00526A9E" w:rsidRPr="0016727E">
        <w:t>’s</w:t>
      </w:r>
      <w:r w:rsidR="00F64ADF" w:rsidRPr="0016727E">
        <w:t xml:space="preserve"> r</w:t>
      </w:r>
      <w:r w:rsidR="00C320E4" w:rsidRPr="0016727E">
        <w:t xml:space="preserve">esponses </w:t>
      </w:r>
      <w:r w:rsidR="00F64ADF" w:rsidRPr="0016727E">
        <w:t>are not seen as sufficient to overcome JASPERS</w:t>
      </w:r>
      <w:r w:rsidR="00526A9E" w:rsidRPr="0016727E">
        <w:t>’</w:t>
      </w:r>
      <w:r w:rsidR="00F64ADF" w:rsidRPr="0016727E">
        <w:t xml:space="preserve"> concerns </w:t>
      </w:r>
      <w:r w:rsidR="003933F7" w:rsidRPr="0016727E">
        <w:t xml:space="preserve">on the technical solution </w:t>
      </w:r>
      <w:r w:rsidR="00F64ADF" w:rsidRPr="0016727E">
        <w:t>irrespective of the appropriateness of the selected alternative:</w:t>
      </w:r>
    </w:p>
    <w:p w:rsidR="00C320E4" w:rsidRPr="0016727E" w:rsidRDefault="00C320E4" w:rsidP="00DF5BBA"/>
    <w:p w:rsidR="004F4B32" w:rsidRPr="0016727E" w:rsidRDefault="004F4B32" w:rsidP="00C320E4">
      <w:pPr>
        <w:numPr>
          <w:ilvl w:val="0"/>
          <w:numId w:val="32"/>
        </w:numPr>
        <w:jc w:val="both"/>
      </w:pPr>
      <w:r w:rsidRPr="0016727E">
        <w:t xml:space="preserve">The proposed project retains the “as tendered new water line plant” </w:t>
      </w:r>
      <w:r w:rsidR="00C53C97" w:rsidRPr="0016727E">
        <w:t>from</w:t>
      </w:r>
      <w:r w:rsidRPr="0016727E">
        <w:t xml:space="preserve"> the year 2012.  Th</w:t>
      </w:r>
      <w:r w:rsidR="00290465" w:rsidRPr="0016727E">
        <w:t>e Project Beneficiary sees th</w:t>
      </w:r>
      <w:r w:rsidRPr="0016727E">
        <w:t xml:space="preserve">is decision as acceptable since (i) the purpose </w:t>
      </w:r>
      <w:r w:rsidR="00F64ADF" w:rsidRPr="0016727E">
        <w:t xml:space="preserve">of option analysis is </w:t>
      </w:r>
      <w:r w:rsidR="00AA78FD" w:rsidRPr="0016727E">
        <w:t xml:space="preserve">only </w:t>
      </w:r>
      <w:r w:rsidR="00741C87">
        <w:t xml:space="preserve">seen as </w:t>
      </w:r>
      <w:r w:rsidR="00F64ADF" w:rsidRPr="0016727E">
        <w:t xml:space="preserve">to broadly define a suitable technical solution and (ii) </w:t>
      </w:r>
      <w:r w:rsidR="00741C87">
        <w:t xml:space="preserve">owing to </w:t>
      </w:r>
      <w:r w:rsidR="00F64ADF" w:rsidRPr="0016727E">
        <w:t>the non</w:t>
      </w:r>
      <w:r w:rsidR="006D5FC5" w:rsidRPr="0016727E">
        <w:t>-</w:t>
      </w:r>
      <w:r w:rsidR="00F64ADF" w:rsidRPr="0016727E">
        <w:t xml:space="preserve">possibility of the changing the awarded tendered design.  While the </w:t>
      </w:r>
      <w:r w:rsidR="00C53C97" w:rsidRPr="0016727E">
        <w:t xml:space="preserve">general </w:t>
      </w:r>
      <w:r w:rsidR="00F64ADF" w:rsidRPr="0016727E">
        <w:t>purpose of the option analysis can be agreed, the final solution should nevertheless be cost effective</w:t>
      </w:r>
      <w:r w:rsidR="00AA78FD" w:rsidRPr="0016727E">
        <w:t xml:space="preserve">. </w:t>
      </w:r>
      <w:r w:rsidR="00F64ADF" w:rsidRPr="0016727E">
        <w:t xml:space="preserve"> </w:t>
      </w:r>
      <w:r w:rsidR="00AA78FD" w:rsidRPr="0016727E">
        <w:t>I</w:t>
      </w:r>
      <w:r w:rsidR="00F64ADF" w:rsidRPr="0016727E">
        <w:t>n this case</w:t>
      </w:r>
      <w:r w:rsidR="00526A9E" w:rsidRPr="0016727E">
        <w:t>,</w:t>
      </w:r>
      <w:r w:rsidR="00F64ADF" w:rsidRPr="0016727E">
        <w:t xml:space="preserve"> the size of works (tanks) is about 20% larger than in the preferred option and the </w:t>
      </w:r>
      <w:r w:rsidR="00AA78FD" w:rsidRPr="0016727E">
        <w:t>plant</w:t>
      </w:r>
      <w:r w:rsidR="00526A9E" w:rsidRPr="0016727E">
        <w:t>’</w:t>
      </w:r>
      <w:r w:rsidR="00AA78FD" w:rsidRPr="0016727E">
        <w:t xml:space="preserve">s </w:t>
      </w:r>
      <w:r w:rsidR="00F64ADF" w:rsidRPr="0016727E">
        <w:t xml:space="preserve">capacity </w:t>
      </w:r>
      <w:r w:rsidR="00AA78FD" w:rsidRPr="0016727E">
        <w:t xml:space="preserve">is </w:t>
      </w:r>
      <w:r w:rsidR="00F64ADF" w:rsidRPr="0016727E">
        <w:t xml:space="preserve">around </w:t>
      </w:r>
      <w:r w:rsidR="00590C9A" w:rsidRPr="0016727E">
        <w:t>2</w:t>
      </w:r>
      <w:r w:rsidR="00F64ADF" w:rsidRPr="0016727E">
        <w:t>5% higher</w:t>
      </w:r>
      <w:r w:rsidR="00AA78FD" w:rsidRPr="0016727E">
        <w:t xml:space="preserve"> (1.</w:t>
      </w:r>
      <w:r w:rsidR="00590C9A" w:rsidRPr="0016727E">
        <w:t>2</w:t>
      </w:r>
      <w:r w:rsidR="00526A9E" w:rsidRPr="0016727E">
        <w:t> </w:t>
      </w:r>
      <w:r w:rsidR="00AA78FD" w:rsidRPr="0016727E">
        <w:t>million</w:t>
      </w:r>
      <w:r w:rsidR="00526A9E" w:rsidRPr="0016727E">
        <w:t> </w:t>
      </w:r>
      <w:r w:rsidR="00AA78FD" w:rsidRPr="0016727E">
        <w:t>PE compared to the Beneficiar</w:t>
      </w:r>
      <w:r w:rsidR="00526A9E" w:rsidRPr="0016727E">
        <w:t>y</w:t>
      </w:r>
      <w:r w:rsidR="00AA78FD" w:rsidRPr="0016727E">
        <w:t>’</w:t>
      </w:r>
      <w:r w:rsidR="00526A9E" w:rsidRPr="0016727E">
        <w:t>s</w:t>
      </w:r>
      <w:r w:rsidR="00AA78FD" w:rsidRPr="0016727E">
        <w:t xml:space="preserve"> adju</w:t>
      </w:r>
      <w:r w:rsidR="0036692A" w:rsidRPr="0016727E">
        <w:t>st</w:t>
      </w:r>
      <w:r w:rsidR="00AA78FD" w:rsidRPr="0016727E">
        <w:t>ed optimum solution of 0.96 million PE)</w:t>
      </w:r>
      <w:r w:rsidR="00F64ADF" w:rsidRPr="0016727E">
        <w:t>.  In reality</w:t>
      </w:r>
      <w:r w:rsidR="00227812" w:rsidRPr="0016727E">
        <w:t>,</w:t>
      </w:r>
      <w:r w:rsidR="00F64ADF" w:rsidRPr="0016727E">
        <w:t xml:space="preserve"> the proposed solution is closer to Option 3 than </w:t>
      </w:r>
      <w:r w:rsidR="003933F7" w:rsidRPr="0016727E">
        <w:t xml:space="preserve">the stated preferred </w:t>
      </w:r>
      <w:r w:rsidR="00F64ADF" w:rsidRPr="0016727E">
        <w:t>Option 2</w:t>
      </w:r>
      <w:r w:rsidR="00AA78FD" w:rsidRPr="0016727E">
        <w:t xml:space="preserve">. </w:t>
      </w:r>
      <w:r w:rsidR="00F64ADF" w:rsidRPr="0016727E">
        <w:t xml:space="preserve"> </w:t>
      </w:r>
      <w:r w:rsidR="00AA78FD" w:rsidRPr="0016727E">
        <w:t xml:space="preserve">The Beneficiary </w:t>
      </w:r>
      <w:r w:rsidR="00F64ADF" w:rsidRPr="0016727E">
        <w:t xml:space="preserve">has not identified </w:t>
      </w:r>
      <w:r w:rsidR="00AA78FD" w:rsidRPr="0016727E">
        <w:t xml:space="preserve">Option 3 </w:t>
      </w:r>
      <w:r w:rsidR="00F64ADF" w:rsidRPr="0016727E">
        <w:t>as a cost effective solution</w:t>
      </w:r>
      <w:r w:rsidR="003933F7" w:rsidRPr="0016727E">
        <w:t xml:space="preserve"> (Option</w:t>
      </w:r>
      <w:r w:rsidR="00C53C97" w:rsidRPr="0016727E">
        <w:t>s</w:t>
      </w:r>
      <w:r w:rsidR="003933F7" w:rsidRPr="0016727E">
        <w:t xml:space="preserve"> 1 and 5 are also claimed to be cost effective)</w:t>
      </w:r>
      <w:r w:rsidR="00F64ADF" w:rsidRPr="0016727E">
        <w:t xml:space="preserve">.  </w:t>
      </w:r>
      <w:r w:rsidR="00AA78FD" w:rsidRPr="0016727E">
        <w:t>Notwithstanding this, i</w:t>
      </w:r>
      <w:r w:rsidR="00F64ADF" w:rsidRPr="0016727E">
        <w:t>ncurring additional costs (capital and operating) by retaining a “pre-determined” engineering solution, despite acknowledged changes in the design inflow parameters, cannot be seen as in the best interests of the consumer</w:t>
      </w:r>
      <w:r w:rsidR="0036692A" w:rsidRPr="0016727E">
        <w:t xml:space="preserve"> or financier</w:t>
      </w:r>
      <w:r w:rsidR="00F64ADF" w:rsidRPr="0016727E">
        <w:t xml:space="preserve">.  </w:t>
      </w:r>
      <w:r w:rsidR="00AA78FD" w:rsidRPr="0016727E">
        <w:t>As such</w:t>
      </w:r>
      <w:r w:rsidR="00227812" w:rsidRPr="0016727E">
        <w:t>,</w:t>
      </w:r>
      <w:r w:rsidR="00AA78FD" w:rsidRPr="0016727E">
        <w:t xml:space="preserve"> the arguments put forward in the response</w:t>
      </w:r>
      <w:r w:rsidR="00526A9E" w:rsidRPr="0016727E">
        <w:t>,</w:t>
      </w:r>
      <w:r w:rsidR="00AA78FD" w:rsidRPr="0016727E">
        <w:t xml:space="preserve"> therefore</w:t>
      </w:r>
      <w:r w:rsidR="00526A9E" w:rsidRPr="0016727E">
        <w:t>,</w:t>
      </w:r>
      <w:r w:rsidR="00AA78FD" w:rsidRPr="0016727E">
        <w:t xml:space="preserve"> cannot be </w:t>
      </w:r>
      <w:r w:rsidR="00227812" w:rsidRPr="0016727E">
        <w:t>seen</w:t>
      </w:r>
      <w:r w:rsidR="00AA78FD" w:rsidRPr="0016727E">
        <w:t xml:space="preserve"> as </w:t>
      </w:r>
      <w:r w:rsidR="00227812" w:rsidRPr="0016727E">
        <w:t>either r</w:t>
      </w:r>
      <w:r w:rsidR="00AA78FD" w:rsidRPr="0016727E">
        <w:t xml:space="preserve">ationale or acceptable.  </w:t>
      </w:r>
    </w:p>
    <w:p w:rsidR="004F4B32" w:rsidRPr="0016727E" w:rsidRDefault="004F4B32" w:rsidP="00167E0B">
      <w:pPr>
        <w:ind w:left="360"/>
        <w:jc w:val="both"/>
      </w:pPr>
    </w:p>
    <w:p w:rsidR="00DA4FED" w:rsidRPr="0016727E" w:rsidRDefault="00DA4FED" w:rsidP="00DA4FED">
      <w:pPr>
        <w:numPr>
          <w:ilvl w:val="0"/>
          <w:numId w:val="31"/>
        </w:numPr>
        <w:rPr>
          <w:b/>
        </w:rPr>
      </w:pPr>
      <w:r w:rsidRPr="0016727E">
        <w:rPr>
          <w:b/>
        </w:rPr>
        <w:t>Project Costs</w:t>
      </w:r>
    </w:p>
    <w:p w:rsidR="00DA4FED" w:rsidRPr="0016727E" w:rsidRDefault="00DA4FED" w:rsidP="00DF5BBA"/>
    <w:p w:rsidR="00002E23" w:rsidRPr="00342705" w:rsidRDefault="00002E23" w:rsidP="00732777">
      <w:pPr>
        <w:jc w:val="both"/>
      </w:pPr>
      <w:r w:rsidRPr="00342705">
        <w:t>It is acknowledged that verif</w:t>
      </w:r>
      <w:r w:rsidR="003933F7" w:rsidRPr="00342705">
        <w:t>ication of</w:t>
      </w:r>
      <w:r w:rsidRPr="00342705">
        <w:t xml:space="preserve"> the appropriateness of the capital costs for the proposed works is fraught and compounded by </w:t>
      </w:r>
      <w:r w:rsidR="003933F7" w:rsidRPr="00342705">
        <w:t xml:space="preserve">the </w:t>
      </w:r>
      <w:r w:rsidRPr="00342705">
        <w:t>specifics concerning the location of the proposed plant and the degree of environmental protection works.  The JASPERS</w:t>
      </w:r>
      <w:r w:rsidR="00526A9E" w:rsidRPr="00342705">
        <w:t>’</w:t>
      </w:r>
      <w:r w:rsidRPr="00342705">
        <w:t xml:space="preserve"> conclusion of “potential over-pricing” was founded against equivalent international costs</w:t>
      </w:r>
      <w:r w:rsidR="00526A9E" w:rsidRPr="00342705">
        <w:t>,</w:t>
      </w:r>
      <w:r w:rsidRPr="00342705">
        <w:t xml:space="preserve"> taking into account the proposed scope of works and was made against insufficient information </w:t>
      </w:r>
      <w:r w:rsidR="00A13375" w:rsidRPr="00342705">
        <w:t xml:space="preserve">on project costs </w:t>
      </w:r>
      <w:r w:rsidRPr="00342705">
        <w:t xml:space="preserve">provided in the Application Documents.  This </w:t>
      </w:r>
      <w:r w:rsidR="00A13375" w:rsidRPr="00342705">
        <w:t xml:space="preserve">insufficiency </w:t>
      </w:r>
      <w:r w:rsidR="00D65F7D">
        <w:t>prevails</w:t>
      </w:r>
      <w:r w:rsidRPr="00342705">
        <w:t xml:space="preserve"> despite the existence (but non</w:t>
      </w:r>
      <w:r w:rsidR="00082AE0">
        <w:t>-</w:t>
      </w:r>
      <w:r w:rsidRPr="00342705">
        <w:t>presen</w:t>
      </w:r>
      <w:r w:rsidR="00342705">
        <w:t>ted</w:t>
      </w:r>
      <w:r w:rsidRPr="00342705">
        <w:t xml:space="preserve">) </w:t>
      </w:r>
      <w:r w:rsidR="00342705">
        <w:t xml:space="preserve">of </w:t>
      </w:r>
      <w:r w:rsidRPr="00342705">
        <w:t>a tendered price.  The Beneficiary’s response reiterate</w:t>
      </w:r>
      <w:r w:rsidR="00341789" w:rsidRPr="00342705">
        <w:t>s</w:t>
      </w:r>
      <w:r w:rsidRPr="00342705">
        <w:t xml:space="preserve"> the known project specific factors and provide</w:t>
      </w:r>
      <w:r w:rsidR="00341789" w:rsidRPr="00342705">
        <w:t>s</w:t>
      </w:r>
      <w:r w:rsidRPr="00342705">
        <w:t xml:space="preserve"> </w:t>
      </w:r>
      <w:r w:rsidR="00341789" w:rsidRPr="00342705">
        <w:t xml:space="preserve">a </w:t>
      </w:r>
      <w:r w:rsidRPr="00342705">
        <w:t xml:space="preserve">methodology of how works are costed within a tender.  The responses do not provide any additional information to justify the magnitude of the cost assumptions.  Since the main deficiency </w:t>
      </w:r>
      <w:r w:rsidR="00167E0B" w:rsidRPr="00342705">
        <w:t>identified in the JASPERS</w:t>
      </w:r>
      <w:r w:rsidR="00E50BC0" w:rsidRPr="00342705">
        <w:t>’</w:t>
      </w:r>
      <w:r w:rsidR="00167E0B" w:rsidRPr="00342705">
        <w:t xml:space="preserve"> </w:t>
      </w:r>
      <w:r w:rsidR="00E50BC0" w:rsidRPr="00342705">
        <w:t>D</w:t>
      </w:r>
      <w:r w:rsidR="00167E0B" w:rsidRPr="00342705">
        <w:t>raft Completion Note was a lack of information, the comment must remain until the additional and necessary information is provided.  Th</w:t>
      </w:r>
      <w:r w:rsidR="00A13375" w:rsidRPr="00342705">
        <w:t>e additional info</w:t>
      </w:r>
      <w:r w:rsidR="002C1B09" w:rsidRPr="00342705">
        <w:t>r</w:t>
      </w:r>
      <w:r w:rsidR="00A13375" w:rsidRPr="00342705">
        <w:t>mation</w:t>
      </w:r>
      <w:r w:rsidR="00167E0B" w:rsidRPr="00342705">
        <w:t xml:space="preserve"> should be relatively easy to provide, only after which </w:t>
      </w:r>
      <w:r w:rsidR="002C1B09" w:rsidRPr="00342705">
        <w:t xml:space="preserve">can </w:t>
      </w:r>
      <w:r w:rsidR="00167E0B" w:rsidRPr="00342705">
        <w:t xml:space="preserve">a more substantiated opinion on “possible over-pricing” be given.  </w:t>
      </w:r>
    </w:p>
    <w:p w:rsidR="00DA4FED" w:rsidRPr="0016727E" w:rsidRDefault="00DA4FED" w:rsidP="00DF5BBA"/>
    <w:p w:rsidR="00DA4FED" w:rsidRPr="0016727E" w:rsidRDefault="00DA4FED" w:rsidP="00E85CFD">
      <w:pPr>
        <w:keepNext/>
        <w:keepLines/>
        <w:numPr>
          <w:ilvl w:val="0"/>
          <w:numId w:val="31"/>
        </w:numPr>
        <w:rPr>
          <w:b/>
        </w:rPr>
      </w:pPr>
      <w:r w:rsidRPr="0016727E">
        <w:rPr>
          <w:b/>
        </w:rPr>
        <w:t>EIA Procedures</w:t>
      </w:r>
    </w:p>
    <w:p w:rsidR="00DA4FED" w:rsidRPr="0016727E" w:rsidRDefault="00DA4FED" w:rsidP="00E85CFD">
      <w:pPr>
        <w:keepNext/>
        <w:keepLines/>
      </w:pPr>
    </w:p>
    <w:p w:rsidR="00167E0B" w:rsidRPr="0016727E" w:rsidRDefault="00167E0B" w:rsidP="00E85CFD">
      <w:pPr>
        <w:keepNext/>
        <w:keepLines/>
        <w:jc w:val="both"/>
      </w:pPr>
      <w:r w:rsidRPr="0016727E">
        <w:t>The main JASPERS comment highlighted that the building permit for the new line was not in place.  The Beneficiary’s responses confirm this fact and foresee the issuing of the permit by the end of March.  The JASPERS</w:t>
      </w:r>
      <w:r w:rsidR="00E50BC0" w:rsidRPr="0016727E">
        <w:t>’</w:t>
      </w:r>
      <w:r w:rsidRPr="0016727E">
        <w:t xml:space="preserve"> concern</w:t>
      </w:r>
      <w:r w:rsidR="00E50BC0" w:rsidRPr="0016727E">
        <w:t>,</w:t>
      </w:r>
      <w:r w:rsidRPr="0016727E">
        <w:t xml:space="preserve"> </w:t>
      </w:r>
      <w:r w:rsidR="003933F7" w:rsidRPr="0016727E">
        <w:t>therefore</w:t>
      </w:r>
      <w:r w:rsidR="00E50BC0" w:rsidRPr="0016727E">
        <w:t>,</w:t>
      </w:r>
      <w:r w:rsidR="003933F7" w:rsidRPr="0016727E">
        <w:t xml:space="preserve"> </w:t>
      </w:r>
      <w:r w:rsidRPr="0016727E">
        <w:t>remains together with the interrelated ability of the Contractor to realise the specified amount of works within the available financial envelope for OP 2007 – 2013</w:t>
      </w:r>
      <w:r w:rsidR="0087630A" w:rsidRPr="0016727E">
        <w:t xml:space="preserve"> (€ 43 million)</w:t>
      </w:r>
      <w:r w:rsidRPr="0016727E">
        <w:t xml:space="preserve">.  </w:t>
      </w:r>
    </w:p>
    <w:p w:rsidR="00167E0B" w:rsidRPr="0016727E" w:rsidRDefault="00167E0B" w:rsidP="00DF5BBA"/>
    <w:p w:rsidR="00DA4FED" w:rsidRPr="0016727E" w:rsidRDefault="00DA4FED" w:rsidP="00342705">
      <w:pPr>
        <w:keepNext/>
        <w:keepLines/>
        <w:numPr>
          <w:ilvl w:val="0"/>
          <w:numId w:val="31"/>
        </w:numPr>
        <w:rPr>
          <w:b/>
        </w:rPr>
      </w:pPr>
      <w:r w:rsidRPr="0016727E">
        <w:rPr>
          <w:b/>
        </w:rPr>
        <w:lastRenderedPageBreak/>
        <w:t xml:space="preserve">Economic Evaluation </w:t>
      </w:r>
    </w:p>
    <w:p w:rsidR="00DA4FED" w:rsidRPr="0016727E" w:rsidRDefault="00DA4FED" w:rsidP="00342705">
      <w:pPr>
        <w:keepNext/>
        <w:keepLines/>
      </w:pPr>
    </w:p>
    <w:p w:rsidR="00DA4FED" w:rsidRPr="0016727E" w:rsidRDefault="00E030FC" w:rsidP="00342705">
      <w:pPr>
        <w:keepNext/>
        <w:keepLines/>
        <w:jc w:val="both"/>
      </w:pPr>
      <w:r w:rsidRPr="0016727E">
        <w:t>The responses do not address JASPERS</w:t>
      </w:r>
      <w:r w:rsidR="00233023" w:rsidRPr="0016727E">
        <w:t>’</w:t>
      </w:r>
      <w:r w:rsidRPr="0016727E">
        <w:t xml:space="preserve"> concerns </w:t>
      </w:r>
      <w:r w:rsidR="00761DFE" w:rsidRPr="0016727E">
        <w:t>on</w:t>
      </w:r>
      <w:r w:rsidR="003933F7" w:rsidRPr="0016727E">
        <w:t xml:space="preserve"> </w:t>
      </w:r>
      <w:r w:rsidRPr="0016727E">
        <w:t>the exclusion of replacements costs and residual values from the analysis (a picture of the evaluation is provided below from the FEA model to demonstrate that these are not included).  The capital costs in the below extract from the FEA model sum to CZK</w:t>
      </w:r>
      <w:r w:rsidR="005043D3" w:rsidRPr="0016727E">
        <w:t> </w:t>
      </w:r>
      <w:r w:rsidRPr="0016727E">
        <w:t>7.198 million and not the CZK 7.37 million that is again retained in the responses to comments.  Since the JASPERS</w:t>
      </w:r>
      <w:r w:rsidR="00233023" w:rsidRPr="0016727E">
        <w:t>’</w:t>
      </w:r>
      <w:r w:rsidRPr="0016727E">
        <w:t xml:space="preserve"> comments have not been addressed, the </w:t>
      </w:r>
      <w:r w:rsidR="00DF5961" w:rsidRPr="0016727E">
        <w:t xml:space="preserve">initial concerns </w:t>
      </w:r>
      <w:r w:rsidR="002C1B09" w:rsidRPr="0016727E">
        <w:t xml:space="preserve">must </w:t>
      </w:r>
      <w:r w:rsidRPr="0016727E">
        <w:t xml:space="preserve">remain.  </w:t>
      </w:r>
    </w:p>
    <w:p w:rsidR="00DA4FED" w:rsidRPr="0016727E" w:rsidRDefault="00DA4FED" w:rsidP="00DF5B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E030FC" w:rsidRPr="0016727E" w:rsidTr="000A12D1">
        <w:tc>
          <w:tcPr>
            <w:tcW w:w="9322" w:type="dxa"/>
            <w:shd w:val="clear" w:color="auto" w:fill="auto"/>
          </w:tcPr>
          <w:p w:rsidR="00E030FC" w:rsidRPr="0016727E" w:rsidRDefault="00A20E7A" w:rsidP="00DF5BBA">
            <w:r w:rsidRPr="0016727E">
              <w:rPr>
                <w:noProof/>
                <w:lang w:eastAsia="en-GB"/>
              </w:rPr>
              <w:drawing>
                <wp:inline distT="0" distB="0" distL="0" distR="0" wp14:anchorId="1F3EFF8B" wp14:editId="4EDE499E">
                  <wp:extent cx="5772150" cy="2019300"/>
                  <wp:effectExtent l="0" t="0" r="0" b="0"/>
                  <wp:docPr id="1" name="Picture 1" descr="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2150" cy="2019300"/>
                          </a:xfrm>
                          <a:prstGeom prst="rect">
                            <a:avLst/>
                          </a:prstGeom>
                          <a:noFill/>
                          <a:ln>
                            <a:noFill/>
                          </a:ln>
                        </pic:spPr>
                      </pic:pic>
                    </a:graphicData>
                  </a:graphic>
                </wp:inline>
              </w:drawing>
            </w:r>
          </w:p>
        </w:tc>
      </w:tr>
    </w:tbl>
    <w:p w:rsidR="00E030FC" w:rsidRPr="0016727E" w:rsidRDefault="00E030FC" w:rsidP="00DF5BBA"/>
    <w:p w:rsidR="00E030FC" w:rsidRPr="0016727E" w:rsidRDefault="00E030FC" w:rsidP="00E030FC">
      <w:pPr>
        <w:numPr>
          <w:ilvl w:val="0"/>
          <w:numId w:val="31"/>
        </w:numPr>
        <w:rPr>
          <w:b/>
        </w:rPr>
      </w:pPr>
      <w:r w:rsidRPr="0016727E">
        <w:rPr>
          <w:b/>
        </w:rPr>
        <w:t>Financial Analysis</w:t>
      </w:r>
    </w:p>
    <w:p w:rsidR="00E030FC" w:rsidRPr="0016727E" w:rsidRDefault="00E030FC" w:rsidP="00DF5BBA"/>
    <w:p w:rsidR="0037798F" w:rsidRPr="0016727E" w:rsidRDefault="0037798F" w:rsidP="00DF5961">
      <w:pPr>
        <w:jc w:val="both"/>
      </w:pPr>
      <w:r w:rsidRPr="0016727E">
        <w:t>The responses reiterate the need to use the FEA model and hence do not address the actual JASPERS</w:t>
      </w:r>
      <w:r w:rsidR="00233023" w:rsidRPr="0016727E">
        <w:t>’</w:t>
      </w:r>
      <w:r w:rsidRPr="0016727E">
        <w:t xml:space="preserve"> </w:t>
      </w:r>
      <w:r w:rsidR="00DF5961" w:rsidRPr="0016727E">
        <w:t xml:space="preserve">comments </w:t>
      </w:r>
      <w:r w:rsidRPr="0016727E">
        <w:t>made that relate to the outcome of the FEA model that shows a project to have a weak level of financial sustainability.  Since the comments do not question the JASPERS</w:t>
      </w:r>
      <w:r w:rsidR="00233023" w:rsidRPr="0016727E">
        <w:t>’</w:t>
      </w:r>
      <w:r w:rsidRPr="0016727E">
        <w:t xml:space="preserve"> conclusions of weak financial sustainability and applied tariff policy, it is taken that the Project Beneficiary is in agreement with this conclusion albeit that no resolution to these issues is proposed in the responses.  The explanation for the apparent discrepancy in the investment costs is accepted.  However, it does indicate that Table H.1 of the Application Form has been incorrectly completed.  Since the main JASPERS</w:t>
      </w:r>
      <w:r w:rsidR="00233023" w:rsidRPr="0016727E">
        <w:t>’</w:t>
      </w:r>
      <w:r w:rsidRPr="0016727E">
        <w:t xml:space="preserve"> concerns have not been addressed in the responses, the overall JASPERS</w:t>
      </w:r>
      <w:r w:rsidR="00233023" w:rsidRPr="0016727E">
        <w:t>’</w:t>
      </w:r>
      <w:r w:rsidRPr="0016727E">
        <w:t xml:space="preserve"> opinion on the conclusions of the financial analysis remain</w:t>
      </w:r>
      <w:r w:rsidR="00DD564B" w:rsidRPr="0016727E">
        <w:t>s</w:t>
      </w:r>
      <w:r w:rsidRPr="0016727E">
        <w:t xml:space="preserve">.  It can be noted that adjustment to the tariff policy (concerning recovery of depreciation in the tariff in periods where negative incremental operating costs are shown to arise) and </w:t>
      </w:r>
      <w:r w:rsidR="00BA25F5" w:rsidRPr="0016727E">
        <w:t xml:space="preserve">a </w:t>
      </w:r>
      <w:r w:rsidR="00DD564B" w:rsidRPr="0016727E">
        <w:t xml:space="preserve">better explanation of the high maintenance costs (€ 6.5 million per year) for the existing treatment plant would probably have resolved this general issue.  </w:t>
      </w:r>
    </w:p>
    <w:p w:rsidR="00DD564B" w:rsidRPr="0016727E" w:rsidRDefault="00DD564B" w:rsidP="00DF5961">
      <w:pPr>
        <w:jc w:val="both"/>
      </w:pPr>
    </w:p>
    <w:p w:rsidR="00DD564B" w:rsidRPr="0016727E" w:rsidRDefault="00DD564B" w:rsidP="00DD564B">
      <w:pPr>
        <w:numPr>
          <w:ilvl w:val="0"/>
          <w:numId w:val="31"/>
        </w:numPr>
        <w:rPr>
          <w:b/>
        </w:rPr>
      </w:pPr>
      <w:r w:rsidRPr="0016727E">
        <w:rPr>
          <w:b/>
        </w:rPr>
        <w:t>Project Financing</w:t>
      </w:r>
    </w:p>
    <w:p w:rsidR="00DD564B" w:rsidRPr="0016727E" w:rsidRDefault="00DD564B" w:rsidP="00DF5961">
      <w:pPr>
        <w:jc w:val="both"/>
      </w:pPr>
    </w:p>
    <w:p w:rsidR="00DD564B" w:rsidRPr="0016727E" w:rsidRDefault="00DD564B" w:rsidP="00DF5961">
      <w:pPr>
        <w:jc w:val="both"/>
      </w:pPr>
      <w:r w:rsidRPr="0016727E">
        <w:t xml:space="preserve">The </w:t>
      </w:r>
      <w:r w:rsidR="00233023" w:rsidRPr="0016727E">
        <w:t xml:space="preserve">significant </w:t>
      </w:r>
      <w:r w:rsidRPr="0016727E">
        <w:t xml:space="preserve">outstanding issue concerned the commitment of the City of Prague to provide the necessary co-financing support that was estimated in the </w:t>
      </w:r>
      <w:r w:rsidR="00233023" w:rsidRPr="0016727E">
        <w:t>D</w:t>
      </w:r>
      <w:r w:rsidRPr="0016727E">
        <w:t xml:space="preserve">raft Completion Note to be around € 260 million.  The responses again reference the same Commitment letter from the City of Prague that does not contain </w:t>
      </w:r>
      <w:r w:rsidR="00233023" w:rsidRPr="0016727E">
        <w:t>a</w:t>
      </w:r>
      <w:r w:rsidR="00D65F7D">
        <w:t>ny</w:t>
      </w:r>
      <w:r w:rsidR="00233023" w:rsidRPr="0016727E">
        <w:t xml:space="preserve"> </w:t>
      </w:r>
      <w:r w:rsidRPr="0016727E">
        <w:t xml:space="preserve">statement showing the total financial commitment and only references budget allocations to the year 2015.  Since these are </w:t>
      </w:r>
      <w:r w:rsidR="00DF5961" w:rsidRPr="0016727E">
        <w:t xml:space="preserve">insufficient </w:t>
      </w:r>
      <w:r w:rsidRPr="0016727E">
        <w:t xml:space="preserve">in </w:t>
      </w:r>
      <w:r w:rsidR="00DF5961" w:rsidRPr="0016727E">
        <w:t xml:space="preserve">specifying the </w:t>
      </w:r>
      <w:r w:rsidRPr="0016727E">
        <w:t>amount and timing</w:t>
      </w:r>
      <w:r w:rsidR="00DF5961" w:rsidRPr="0016727E">
        <w:t xml:space="preserve"> of disbursements</w:t>
      </w:r>
      <w:r w:rsidR="00233023" w:rsidRPr="0016727E">
        <w:t>,</w:t>
      </w:r>
      <w:r w:rsidRPr="0016727E">
        <w:t xml:space="preserve"> the concern on </w:t>
      </w:r>
      <w:r w:rsidR="003933F7" w:rsidRPr="0016727E">
        <w:t xml:space="preserve">the level </w:t>
      </w:r>
      <w:r w:rsidR="00233023" w:rsidRPr="0016727E">
        <w:t xml:space="preserve">of </w:t>
      </w:r>
      <w:r w:rsidRPr="0016727E">
        <w:t>evidence of commitment</w:t>
      </w:r>
      <w:r w:rsidR="00233023" w:rsidRPr="0016727E">
        <w:t>,</w:t>
      </w:r>
      <w:r w:rsidRPr="0016727E">
        <w:t xml:space="preserve"> </w:t>
      </w:r>
      <w:r w:rsidR="002C1B09" w:rsidRPr="0016727E">
        <w:t>therefore</w:t>
      </w:r>
      <w:r w:rsidR="00233023" w:rsidRPr="0016727E">
        <w:t>,</w:t>
      </w:r>
      <w:r w:rsidR="002C1B09" w:rsidRPr="0016727E">
        <w:t xml:space="preserve"> </w:t>
      </w:r>
      <w:r w:rsidRPr="0016727E">
        <w:t xml:space="preserve">remains.  </w:t>
      </w:r>
      <w:r w:rsidR="00D65F7D">
        <w:t>In addition</w:t>
      </w:r>
      <w:r w:rsidRPr="0016727E">
        <w:t xml:space="preserve"> </w:t>
      </w:r>
      <w:r w:rsidR="00D65F7D">
        <w:t xml:space="preserve">the </w:t>
      </w:r>
      <w:r w:rsidRPr="0016727E">
        <w:t xml:space="preserve">capacity to provide the commitment should also be demonstrated.  This issue could have been overcome by reissuing the commitment document referencing the currently estimated required contributions </w:t>
      </w:r>
      <w:r w:rsidR="003933F7" w:rsidRPr="0016727E">
        <w:t xml:space="preserve">together </w:t>
      </w:r>
      <w:r w:rsidRPr="0016727E">
        <w:t xml:space="preserve">with a further analysis of the financial capacity of the City to realise this </w:t>
      </w:r>
      <w:r w:rsidR="00233023" w:rsidRPr="0016727E">
        <w:t xml:space="preserve">provided </w:t>
      </w:r>
      <w:r w:rsidRPr="0016727E">
        <w:t>commitment</w:t>
      </w:r>
      <w:r w:rsidR="00BA25F5" w:rsidRPr="0016727E">
        <w:t xml:space="preserve">.  </w:t>
      </w:r>
    </w:p>
    <w:p w:rsidR="0037798F" w:rsidRPr="0016727E" w:rsidRDefault="0037798F" w:rsidP="00DF5BBA"/>
    <w:p w:rsidR="00BA25F5" w:rsidRPr="0016727E" w:rsidRDefault="00BA25F5" w:rsidP="00342705">
      <w:pPr>
        <w:widowControl w:val="0"/>
        <w:numPr>
          <w:ilvl w:val="0"/>
          <w:numId w:val="31"/>
        </w:numPr>
        <w:rPr>
          <w:b/>
        </w:rPr>
      </w:pPr>
      <w:r w:rsidRPr="0016727E">
        <w:rPr>
          <w:b/>
        </w:rPr>
        <w:t>Procurement and Timetable</w:t>
      </w:r>
    </w:p>
    <w:p w:rsidR="00BA25F5" w:rsidRPr="0016727E" w:rsidRDefault="00BA25F5" w:rsidP="00342705">
      <w:pPr>
        <w:widowControl w:val="0"/>
      </w:pPr>
    </w:p>
    <w:p w:rsidR="00BA25F5" w:rsidRPr="0016727E" w:rsidRDefault="00BA25F5" w:rsidP="00342705">
      <w:pPr>
        <w:widowControl w:val="0"/>
      </w:pPr>
      <w:r w:rsidRPr="0016727E">
        <w:t xml:space="preserve">Of the three </w:t>
      </w:r>
      <w:r w:rsidR="007E6A30" w:rsidRPr="0016727E">
        <w:t xml:space="preserve">significant </w:t>
      </w:r>
      <w:r w:rsidRPr="0016727E">
        <w:t xml:space="preserve">outstanding issues raised in the </w:t>
      </w:r>
      <w:r w:rsidR="007E6A30" w:rsidRPr="0016727E">
        <w:t>D</w:t>
      </w:r>
      <w:r w:rsidRPr="0016727E">
        <w:t>raft JASPERS Completion Note:</w:t>
      </w:r>
    </w:p>
    <w:p w:rsidR="00BA25F5" w:rsidRPr="0016727E" w:rsidRDefault="00BA25F5" w:rsidP="00342705">
      <w:pPr>
        <w:widowControl w:val="0"/>
      </w:pPr>
    </w:p>
    <w:p w:rsidR="00360EEF" w:rsidRPr="0016727E" w:rsidRDefault="00423CFC" w:rsidP="00342705">
      <w:pPr>
        <w:widowControl w:val="0"/>
        <w:numPr>
          <w:ilvl w:val="0"/>
          <w:numId w:val="34"/>
        </w:numPr>
        <w:jc w:val="both"/>
      </w:pPr>
      <w:r w:rsidRPr="0016727E">
        <w:t xml:space="preserve">The main concern raised relates to the ability to complete the necessary works within the eligibility period for the OP 2007 – 2013, since </w:t>
      </w:r>
      <w:r w:rsidR="00D65F7D">
        <w:t xml:space="preserve">the </w:t>
      </w:r>
      <w:r w:rsidRPr="0016727E">
        <w:t xml:space="preserve">necessary development consents are not yet shown to have been obtained.  Furthermore, the proposed works would have to be shown as being consistent with the applicable “phasing” requirements for the OP 2007 – 2013, with this not addressed in the original Application Documents or the received </w:t>
      </w:r>
      <w:r w:rsidR="003933F7" w:rsidRPr="0016727E">
        <w:t>responses</w:t>
      </w:r>
      <w:r w:rsidRPr="0016727E">
        <w:t xml:space="preserve">.  </w:t>
      </w:r>
      <w:r w:rsidR="00761DFE" w:rsidRPr="0016727E">
        <w:t>Therefore, t</w:t>
      </w:r>
      <w:r w:rsidRPr="0016727E">
        <w:t xml:space="preserve">his issue </w:t>
      </w:r>
      <w:r w:rsidRPr="0016727E">
        <w:lastRenderedPageBreak/>
        <w:t xml:space="preserve">remains open.  </w:t>
      </w:r>
    </w:p>
    <w:p w:rsidR="00360EEF" w:rsidRPr="0016727E" w:rsidRDefault="00360EEF" w:rsidP="00DF5BBA"/>
    <w:p w:rsidR="00BA25F5" w:rsidRPr="0016727E" w:rsidRDefault="00BA25F5" w:rsidP="00DF5961">
      <w:pPr>
        <w:numPr>
          <w:ilvl w:val="0"/>
          <w:numId w:val="33"/>
        </w:numPr>
      </w:pPr>
      <w:r w:rsidRPr="0016727E">
        <w:t xml:space="preserve">No reply is provided </w:t>
      </w:r>
      <w:r w:rsidR="00761DFE" w:rsidRPr="0016727E">
        <w:t>to</w:t>
      </w:r>
      <w:r w:rsidRPr="0016727E">
        <w:t xml:space="preserve"> </w:t>
      </w:r>
      <w:r w:rsidR="00761DFE" w:rsidRPr="0016727E">
        <w:t xml:space="preserve">the </w:t>
      </w:r>
      <w:r w:rsidRPr="0016727E">
        <w:t xml:space="preserve">expressed concerns </w:t>
      </w:r>
      <w:r w:rsidR="00761DFE" w:rsidRPr="0016727E">
        <w:t>on</w:t>
      </w:r>
      <w:r w:rsidRPr="0016727E">
        <w:t xml:space="preserve"> the validity of the work contract for Stage 001 : new water line.  This outstanding issue</w:t>
      </w:r>
      <w:r w:rsidR="00761DFE" w:rsidRPr="0016727E">
        <w:t>,</w:t>
      </w:r>
      <w:r w:rsidRPr="0016727E">
        <w:t xml:space="preserve"> therefore</w:t>
      </w:r>
      <w:r w:rsidR="00761DFE" w:rsidRPr="0016727E">
        <w:t>,</w:t>
      </w:r>
      <w:r w:rsidRPr="0016727E">
        <w:t xml:space="preserve"> must remain open.  </w:t>
      </w:r>
    </w:p>
    <w:p w:rsidR="00BA25F5" w:rsidRPr="0016727E" w:rsidRDefault="00BA25F5" w:rsidP="00DF5961"/>
    <w:p w:rsidR="00BA25F5" w:rsidRPr="0016727E" w:rsidRDefault="00BA25F5" w:rsidP="00DF5961">
      <w:pPr>
        <w:numPr>
          <w:ilvl w:val="0"/>
          <w:numId w:val="33"/>
        </w:numPr>
        <w:jc w:val="both"/>
      </w:pPr>
      <w:r w:rsidRPr="0016727E">
        <w:t>A slightly lower contract value (CZK 324 million compared to CZK 360 million) for the construction supervision contract is provided in the responses.  Although this value is slightly lower</w:t>
      </w:r>
      <w:r w:rsidR="00761DFE" w:rsidRPr="0016727E">
        <w:t>,</w:t>
      </w:r>
      <w:r w:rsidRPr="0016727E">
        <w:t xml:space="preserve"> the opinion that the cost is high given the (undisputed) </w:t>
      </w:r>
      <w:r w:rsidR="00D65F7D">
        <w:t xml:space="preserve">remaining </w:t>
      </w:r>
      <w:r w:rsidRPr="0016727E">
        <w:t>period and scope of works for the contract remains.  The responses do not provide any su</w:t>
      </w:r>
      <w:r w:rsidR="00360EEF" w:rsidRPr="0016727E">
        <w:t xml:space="preserve">pporting evidence to justify the value of the contract and therefore the outstanding issue must remain.  Since the contract has been awarded, information on the cost breakdown of the construction supervision contract could have been made available to enable a more informed opinion on its appropriateness to be made.  </w:t>
      </w:r>
    </w:p>
    <w:p w:rsidR="00BA25F5" w:rsidRPr="0016727E" w:rsidRDefault="00BA25F5" w:rsidP="00DF5BBA"/>
    <w:p w:rsidR="00BA25F5" w:rsidRPr="0016727E" w:rsidRDefault="00BA25F5" w:rsidP="00BA25F5">
      <w:pPr>
        <w:numPr>
          <w:ilvl w:val="0"/>
          <w:numId w:val="31"/>
        </w:numPr>
        <w:rPr>
          <w:b/>
        </w:rPr>
      </w:pPr>
      <w:r w:rsidRPr="0016727E">
        <w:rPr>
          <w:b/>
        </w:rPr>
        <w:t>Institutional / Operational</w:t>
      </w:r>
    </w:p>
    <w:p w:rsidR="00BA25F5" w:rsidRPr="0016727E" w:rsidRDefault="00BA25F5" w:rsidP="00DF5BBA"/>
    <w:p w:rsidR="00BA25F5" w:rsidRPr="0016727E" w:rsidRDefault="00360EEF" w:rsidP="00DF5961">
      <w:pPr>
        <w:jc w:val="both"/>
      </w:pPr>
      <w:r w:rsidRPr="0016727E">
        <w:t>The main JASPERS</w:t>
      </w:r>
      <w:r w:rsidR="00761DFE" w:rsidRPr="0016727E">
        <w:t>’</w:t>
      </w:r>
      <w:r w:rsidRPr="0016727E">
        <w:t xml:space="preserve"> concern relates to the sufficiency of details in the memorandum of </w:t>
      </w:r>
      <w:r w:rsidR="00761DFE" w:rsidRPr="0016727E">
        <w:t>27</w:t>
      </w:r>
      <w:r w:rsidR="00761DFE" w:rsidRPr="0016727E">
        <w:rPr>
          <w:vertAlign w:val="superscript"/>
        </w:rPr>
        <w:t>th</w:t>
      </w:r>
      <w:r w:rsidR="00761DFE" w:rsidRPr="0016727E">
        <w:t> </w:t>
      </w:r>
      <w:r w:rsidRPr="0016727E">
        <w:t xml:space="preserve">November 2014 concerning the commitment to change to </w:t>
      </w:r>
      <w:r w:rsidR="00D65F7D">
        <w:t xml:space="preserve">the </w:t>
      </w:r>
      <w:r w:rsidRPr="0016727E">
        <w:t xml:space="preserve">operational responsibility.  This memorandum only states a general commitment and importantly does not provide information on </w:t>
      </w:r>
      <w:r w:rsidR="00D65F7D">
        <w:t xml:space="preserve">(i) </w:t>
      </w:r>
      <w:r w:rsidRPr="0016727E">
        <w:t xml:space="preserve">actions required, </w:t>
      </w:r>
      <w:r w:rsidR="00D65F7D">
        <w:t xml:space="preserve">(ii) </w:t>
      </w:r>
      <w:r w:rsidRPr="0016727E">
        <w:t xml:space="preserve">timetable and </w:t>
      </w:r>
      <w:r w:rsidR="00D65F7D">
        <w:t xml:space="preserve">(iii) </w:t>
      </w:r>
      <w:r w:rsidRPr="0016727E">
        <w:t xml:space="preserve">responsibility allocation for making the changes, </w:t>
      </w:r>
      <w:r w:rsidR="00D65F7D">
        <w:t xml:space="preserve">(iv) </w:t>
      </w:r>
      <w:r w:rsidRPr="0016727E">
        <w:t xml:space="preserve">staffing and operational implications as well as </w:t>
      </w:r>
      <w:r w:rsidR="00D65F7D">
        <w:t xml:space="preserve">(v) </w:t>
      </w:r>
      <w:r w:rsidRPr="0016727E">
        <w:t>specifying the financial implications of the changed arrangements.  The responses to JASPERS</w:t>
      </w:r>
      <w:r w:rsidR="0069253A" w:rsidRPr="0016727E">
        <w:t>’</w:t>
      </w:r>
      <w:r w:rsidRPr="0016727E">
        <w:t xml:space="preserve"> comments again only make reference to the original memorandum and provide no further information or indications that any progress has been subsequently made.  It is considered that until each party </w:t>
      </w:r>
      <w:r w:rsidR="00342705">
        <w:t xml:space="preserve">fully </w:t>
      </w:r>
      <w:r w:rsidRPr="0016727E">
        <w:t>understands the implications</w:t>
      </w:r>
      <w:r w:rsidR="00342705">
        <w:t xml:space="preserve"> of changed operations</w:t>
      </w:r>
      <w:r w:rsidR="0069253A" w:rsidRPr="0016727E">
        <w:t>,</w:t>
      </w:r>
      <w:r w:rsidRPr="0016727E">
        <w:t xml:space="preserve"> a commitment cannot be </w:t>
      </w:r>
      <w:r w:rsidR="00342705">
        <w:t xml:space="preserve">properly </w:t>
      </w:r>
      <w:r w:rsidRPr="0016727E">
        <w:t>made</w:t>
      </w:r>
      <w:r w:rsidR="00342705">
        <w:t xml:space="preserve">. </w:t>
      </w:r>
      <w:r w:rsidRPr="0016727E">
        <w:t xml:space="preserve"> </w:t>
      </w:r>
      <w:r w:rsidR="00342705">
        <w:t>F</w:t>
      </w:r>
      <w:r w:rsidRPr="0016727E">
        <w:t>urther</w:t>
      </w:r>
      <w:r w:rsidR="00342705">
        <w:t>more</w:t>
      </w:r>
      <w:r w:rsidR="00D65F7D">
        <w:t>,</w:t>
      </w:r>
      <w:bookmarkStart w:id="0" w:name="_GoBack"/>
      <w:bookmarkEnd w:id="0"/>
      <w:r w:rsidRPr="0016727E">
        <w:t xml:space="preserve"> the appropriateness and implications of the </w:t>
      </w:r>
      <w:r w:rsidR="00423CFC" w:rsidRPr="0016727E">
        <w:t xml:space="preserve">proposed changes would need to be assessed </w:t>
      </w:r>
      <w:r w:rsidR="00342705">
        <w:t xml:space="preserve">before </w:t>
      </w:r>
      <w:r w:rsidR="00423CFC" w:rsidRPr="0016727E">
        <w:t>this raised issue</w:t>
      </w:r>
      <w:r w:rsidR="00342705">
        <w:t xml:space="preserve"> could be resolved</w:t>
      </w:r>
      <w:r w:rsidR="00423CFC" w:rsidRPr="0016727E">
        <w:t>.  The initial JASPERS</w:t>
      </w:r>
      <w:r w:rsidR="0069253A" w:rsidRPr="0016727E">
        <w:t>’</w:t>
      </w:r>
      <w:r w:rsidR="00423CFC" w:rsidRPr="0016727E">
        <w:t xml:space="preserve"> concern</w:t>
      </w:r>
      <w:r w:rsidR="0069253A" w:rsidRPr="0016727E">
        <w:t>,</w:t>
      </w:r>
      <w:r w:rsidR="00423CFC" w:rsidRPr="0016727E">
        <w:t xml:space="preserve"> therefore</w:t>
      </w:r>
      <w:r w:rsidR="0069253A" w:rsidRPr="0016727E">
        <w:t>,</w:t>
      </w:r>
      <w:r w:rsidR="00423CFC" w:rsidRPr="0016727E">
        <w:t xml:space="preserve"> </w:t>
      </w:r>
      <w:r w:rsidR="003933F7" w:rsidRPr="0016727E">
        <w:t xml:space="preserve">also </w:t>
      </w:r>
      <w:r w:rsidR="00423CFC" w:rsidRPr="0016727E">
        <w:t xml:space="preserve">remains.  </w:t>
      </w:r>
    </w:p>
    <w:p w:rsidR="00360EEF" w:rsidRPr="0016727E" w:rsidRDefault="00360EEF" w:rsidP="00DF5961">
      <w:pPr>
        <w:jc w:val="both"/>
      </w:pPr>
    </w:p>
    <w:sectPr w:rsidR="00360EEF" w:rsidRPr="0016727E" w:rsidSect="00342705">
      <w:headerReference w:type="default" r:id="rId11"/>
      <w:footerReference w:type="even" r:id="rId12"/>
      <w:footerReference w:type="default" r:id="rId13"/>
      <w:pgSz w:w="11906" w:h="16838" w:code="9"/>
      <w:pgMar w:top="851" w:right="1418"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EA6" w:rsidRDefault="00004EA6">
      <w:r>
        <w:separator/>
      </w:r>
    </w:p>
  </w:endnote>
  <w:endnote w:type="continuationSeparator" w:id="0">
    <w:p w:rsidR="00004EA6" w:rsidRDefault="00004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E39" w:rsidRDefault="000D3E39" w:rsidP="00AB4F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3E39" w:rsidRDefault="000D3E39" w:rsidP="004E2BE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E39" w:rsidRDefault="000D3E39" w:rsidP="00AB4F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65F7D">
      <w:rPr>
        <w:rStyle w:val="PageNumber"/>
        <w:noProof/>
      </w:rPr>
      <w:t>4</w:t>
    </w:r>
    <w:r>
      <w:rPr>
        <w:rStyle w:val="PageNumber"/>
      </w:rPr>
      <w:fldChar w:fldCharType="end"/>
    </w:r>
  </w:p>
  <w:p w:rsidR="000D3E39" w:rsidRDefault="000D3E39" w:rsidP="004E2BE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EA6" w:rsidRDefault="00004EA6">
      <w:r>
        <w:separator/>
      </w:r>
    </w:p>
  </w:footnote>
  <w:footnote w:type="continuationSeparator" w:id="0">
    <w:p w:rsidR="00004EA6" w:rsidRDefault="00004E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E39" w:rsidRDefault="000D3E39" w:rsidP="006F43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774F"/>
    <w:multiLevelType w:val="hybridMultilevel"/>
    <w:tmpl w:val="CF9ADA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1067C24"/>
    <w:multiLevelType w:val="hybridMultilevel"/>
    <w:tmpl w:val="CAF2417C"/>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3E17238"/>
    <w:multiLevelType w:val="hybridMultilevel"/>
    <w:tmpl w:val="AD1EF9E4"/>
    <w:lvl w:ilvl="0" w:tplc="08090017">
      <w:start w:val="1"/>
      <w:numFmt w:val="lowerLetter"/>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nsid w:val="13137ACA"/>
    <w:multiLevelType w:val="hybridMultilevel"/>
    <w:tmpl w:val="F08602EE"/>
    <w:lvl w:ilvl="0" w:tplc="B48E63C6">
      <w:start w:val="1"/>
      <w:numFmt w:val="decimal"/>
      <w:pStyle w:val="Normlnslovn"/>
      <w:lvlText w:val="%1."/>
      <w:lvlJc w:val="left"/>
      <w:pPr>
        <w:tabs>
          <w:tab w:val="num" w:pos="340"/>
        </w:tabs>
        <w:ind w:left="624" w:hanging="340"/>
      </w:pPr>
      <w:rPr>
        <w:rFonts w:hint="default"/>
      </w:rPr>
    </w:lvl>
    <w:lvl w:ilvl="1" w:tplc="0032B7AC">
      <w:start w:val="1"/>
      <w:numFmt w:val="lowerLetter"/>
      <w:lvlText w:val="%2)"/>
      <w:lvlJc w:val="left"/>
      <w:pPr>
        <w:tabs>
          <w:tab w:val="num" w:pos="1440"/>
        </w:tabs>
        <w:ind w:left="1440" w:hanging="360"/>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nsid w:val="1A0D18E2"/>
    <w:multiLevelType w:val="hybridMultilevel"/>
    <w:tmpl w:val="5BDA570C"/>
    <w:lvl w:ilvl="0" w:tplc="2D1CDE94">
      <w:start w:val="1"/>
      <w:numFmt w:val="bullet"/>
      <w:lvlText w:val="-"/>
      <w:lvlJc w:val="left"/>
      <w:pPr>
        <w:tabs>
          <w:tab w:val="num" w:pos="720"/>
        </w:tabs>
        <w:ind w:left="720" w:hanging="360"/>
      </w:pPr>
      <w:rPr>
        <w:rFonts w:ascii="Times New Roman" w:eastAsia="Times New Roman" w:hAnsi="Times New Roman"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1DF16C45"/>
    <w:multiLevelType w:val="hybridMultilevel"/>
    <w:tmpl w:val="7AB056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E2E7D6B"/>
    <w:multiLevelType w:val="hybridMultilevel"/>
    <w:tmpl w:val="9B26687A"/>
    <w:lvl w:ilvl="0" w:tplc="8B26CA5A">
      <w:numFmt w:val="bullet"/>
      <w:lvlText w:val="-"/>
      <w:lvlJc w:val="left"/>
      <w:pPr>
        <w:tabs>
          <w:tab w:val="num" w:pos="720"/>
        </w:tabs>
        <w:ind w:left="720" w:hanging="360"/>
      </w:pPr>
      <w:rPr>
        <w:rFonts w:ascii="Times New Roman" w:eastAsia="Times New Roman" w:hAnsi="Times New Roman" w:cs="Times New Roman"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7">
    <w:nsid w:val="27813007"/>
    <w:multiLevelType w:val="hybridMultilevel"/>
    <w:tmpl w:val="5144145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29AA24EE"/>
    <w:multiLevelType w:val="hybridMultilevel"/>
    <w:tmpl w:val="29BC68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2D886D1C"/>
    <w:multiLevelType w:val="hybridMultilevel"/>
    <w:tmpl w:val="1E60B7F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2DD6235C"/>
    <w:multiLevelType w:val="hybridMultilevel"/>
    <w:tmpl w:val="76228828"/>
    <w:lvl w:ilvl="0" w:tplc="E73EF2B4">
      <w:numFmt w:val="bullet"/>
      <w:lvlText w:val="-"/>
      <w:lvlJc w:val="left"/>
      <w:pPr>
        <w:tabs>
          <w:tab w:val="num" w:pos="720"/>
        </w:tabs>
        <w:ind w:left="720" w:hanging="360"/>
      </w:pPr>
      <w:rPr>
        <w:rFonts w:ascii="Times New Roman" w:eastAsia="Times New Roman" w:hAnsi="Times New Roman" w:cs="Times New Roman"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1">
    <w:nsid w:val="2E844427"/>
    <w:multiLevelType w:val="hybridMultilevel"/>
    <w:tmpl w:val="9744722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2">
    <w:nsid w:val="328441BF"/>
    <w:multiLevelType w:val="multilevel"/>
    <w:tmpl w:val="0D802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lang w:val="en-G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B5323C"/>
    <w:multiLevelType w:val="multilevel"/>
    <w:tmpl w:val="ACB41F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35082599"/>
    <w:multiLevelType w:val="hybridMultilevel"/>
    <w:tmpl w:val="8F088AC4"/>
    <w:lvl w:ilvl="0" w:tplc="08090017">
      <w:start w:val="1"/>
      <w:numFmt w:val="lowerLetter"/>
      <w:lvlText w:val="%1)"/>
      <w:lvlJc w:val="left"/>
      <w:pPr>
        <w:tabs>
          <w:tab w:val="num" w:pos="360"/>
        </w:tabs>
        <w:ind w:left="360" w:hanging="360"/>
      </w:pPr>
      <w:rPr>
        <w:rFont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nsid w:val="36744D69"/>
    <w:multiLevelType w:val="hybridMultilevel"/>
    <w:tmpl w:val="EAC0578C"/>
    <w:lvl w:ilvl="0" w:tplc="0809000B">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nsid w:val="38AA12BB"/>
    <w:multiLevelType w:val="hybridMultilevel"/>
    <w:tmpl w:val="8A34942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38DB7574"/>
    <w:multiLevelType w:val="hybridMultilevel"/>
    <w:tmpl w:val="5700031E"/>
    <w:lvl w:ilvl="0" w:tplc="0809000F">
      <w:start w:val="1"/>
      <w:numFmt w:val="decimal"/>
      <w:lvlText w:val="%1."/>
      <w:lvlJc w:val="left"/>
      <w:pPr>
        <w:tabs>
          <w:tab w:val="num" w:pos="360"/>
        </w:tabs>
        <w:ind w:left="360" w:hanging="360"/>
      </w:pPr>
    </w:lvl>
    <w:lvl w:ilvl="1" w:tplc="08090001">
      <w:start w:val="1"/>
      <w:numFmt w:val="bullet"/>
      <w:lvlText w:val=""/>
      <w:lvlJc w:val="left"/>
      <w:pPr>
        <w:tabs>
          <w:tab w:val="num" w:pos="1080"/>
        </w:tabs>
        <w:ind w:left="1080" w:hanging="36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8">
    <w:nsid w:val="390C4AE2"/>
    <w:multiLevelType w:val="hybridMultilevel"/>
    <w:tmpl w:val="7B9C893E"/>
    <w:lvl w:ilvl="0" w:tplc="08090001">
      <w:start w:val="1"/>
      <w:numFmt w:val="bullet"/>
      <w:lvlText w:val=""/>
      <w:lvlJc w:val="left"/>
      <w:pPr>
        <w:tabs>
          <w:tab w:val="num" w:pos="720"/>
        </w:tabs>
        <w:ind w:left="720" w:hanging="360"/>
      </w:pPr>
      <w:rPr>
        <w:rFonts w:ascii="Symbol" w:hAnsi="Symbol" w:hint="default"/>
      </w:rPr>
    </w:lvl>
    <w:lvl w:ilvl="1" w:tplc="0809000B">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3E783B55"/>
    <w:multiLevelType w:val="hybridMultilevel"/>
    <w:tmpl w:val="B024C0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3EBE4A4D"/>
    <w:multiLevelType w:val="hybridMultilevel"/>
    <w:tmpl w:val="84844CEE"/>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47E42D92"/>
    <w:multiLevelType w:val="hybridMultilevel"/>
    <w:tmpl w:val="7A520B6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211"/>
        </w:tabs>
        <w:ind w:left="1211"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4ABD7495"/>
    <w:multiLevelType w:val="hybridMultilevel"/>
    <w:tmpl w:val="DB503F9E"/>
    <w:lvl w:ilvl="0" w:tplc="B2446414">
      <w:numFmt w:val="bullet"/>
      <w:lvlText w:val="-"/>
      <w:lvlJc w:val="left"/>
      <w:pPr>
        <w:tabs>
          <w:tab w:val="num" w:pos="720"/>
        </w:tabs>
        <w:ind w:left="720" w:hanging="360"/>
      </w:pPr>
      <w:rPr>
        <w:rFonts w:ascii="Times New Roman" w:eastAsia="Times New Roman" w:hAnsi="Times New Roman" w:cs="Times New Roman"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3">
    <w:nsid w:val="4C981F09"/>
    <w:multiLevelType w:val="hybridMultilevel"/>
    <w:tmpl w:val="92D09D8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4EB40900"/>
    <w:multiLevelType w:val="hybridMultilevel"/>
    <w:tmpl w:val="CCE60BE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4F1C32A4"/>
    <w:multiLevelType w:val="hybridMultilevel"/>
    <w:tmpl w:val="047454B8"/>
    <w:lvl w:ilvl="0" w:tplc="0809000B">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6">
    <w:nsid w:val="4FBD46B4"/>
    <w:multiLevelType w:val="hybridMultilevel"/>
    <w:tmpl w:val="48D43A6E"/>
    <w:lvl w:ilvl="0" w:tplc="0809000B">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7">
    <w:nsid w:val="512C4F39"/>
    <w:multiLevelType w:val="hybridMultilevel"/>
    <w:tmpl w:val="A1FE1878"/>
    <w:lvl w:ilvl="0" w:tplc="85BCFA4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52E976DD"/>
    <w:multiLevelType w:val="hybridMultilevel"/>
    <w:tmpl w:val="3DD0BA12"/>
    <w:lvl w:ilvl="0" w:tplc="0809000B">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9">
    <w:nsid w:val="55D76FA5"/>
    <w:multiLevelType w:val="hybridMultilevel"/>
    <w:tmpl w:val="DBECAB8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nsid w:val="5D263783"/>
    <w:multiLevelType w:val="hybridMultilevel"/>
    <w:tmpl w:val="6C5680F2"/>
    <w:lvl w:ilvl="0" w:tplc="0809000F">
      <w:start w:val="1"/>
      <w:numFmt w:val="decimal"/>
      <w:lvlText w:val="%1."/>
      <w:lvlJc w:val="left"/>
      <w:pPr>
        <w:tabs>
          <w:tab w:val="num" w:pos="360"/>
        </w:tabs>
        <w:ind w:left="360" w:hanging="360"/>
      </w:pPr>
    </w:lvl>
    <w:lvl w:ilvl="1" w:tplc="08090001">
      <w:start w:val="1"/>
      <w:numFmt w:val="bullet"/>
      <w:lvlText w:val=""/>
      <w:lvlJc w:val="left"/>
      <w:pPr>
        <w:tabs>
          <w:tab w:val="num" w:pos="1080"/>
        </w:tabs>
        <w:ind w:left="1080" w:hanging="360"/>
      </w:pPr>
      <w:rPr>
        <w:rFonts w:ascii="Symbol" w:hAnsi="Symbol" w:hint="default"/>
      </w:r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1">
    <w:nsid w:val="5F7E3771"/>
    <w:multiLevelType w:val="hybridMultilevel"/>
    <w:tmpl w:val="6194C18A"/>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2">
    <w:nsid w:val="729E60FF"/>
    <w:multiLevelType w:val="hybridMultilevel"/>
    <w:tmpl w:val="AA8E86C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nsid w:val="7A963093"/>
    <w:multiLevelType w:val="multilevel"/>
    <w:tmpl w:val="65B40C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nsid w:val="7D380E61"/>
    <w:multiLevelType w:val="multilevel"/>
    <w:tmpl w:val="08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5">
    <w:nsid w:val="7EE55BD6"/>
    <w:multiLevelType w:val="hybridMultilevel"/>
    <w:tmpl w:val="B9A6A9AC"/>
    <w:lvl w:ilvl="0" w:tplc="0809000B">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17"/>
  </w:num>
  <w:num w:numId="3">
    <w:abstractNumId w:val="34"/>
  </w:num>
  <w:num w:numId="4">
    <w:abstractNumId w:val="33"/>
  </w:num>
  <w:num w:numId="5">
    <w:abstractNumId w:val="13"/>
  </w:num>
  <w:num w:numId="6">
    <w:abstractNumId w:val="2"/>
  </w:num>
  <w:num w:numId="7">
    <w:abstractNumId w:val="35"/>
  </w:num>
  <w:num w:numId="8">
    <w:abstractNumId w:val="15"/>
  </w:num>
  <w:num w:numId="9">
    <w:abstractNumId w:val="14"/>
  </w:num>
  <w:num w:numId="10">
    <w:abstractNumId w:val="12"/>
  </w:num>
  <w:num w:numId="11">
    <w:abstractNumId w:val="10"/>
  </w:num>
  <w:num w:numId="12">
    <w:abstractNumId w:val="26"/>
  </w:num>
  <w:num w:numId="13">
    <w:abstractNumId w:val="22"/>
  </w:num>
  <w:num w:numId="14">
    <w:abstractNumId w:val="11"/>
  </w:num>
  <w:num w:numId="15">
    <w:abstractNumId w:val="31"/>
  </w:num>
  <w:num w:numId="16">
    <w:abstractNumId w:val="18"/>
  </w:num>
  <w:num w:numId="17">
    <w:abstractNumId w:val="6"/>
  </w:num>
  <w:num w:numId="18">
    <w:abstractNumId w:val="24"/>
  </w:num>
  <w:num w:numId="19">
    <w:abstractNumId w:val="32"/>
  </w:num>
  <w:num w:numId="20">
    <w:abstractNumId w:val="9"/>
  </w:num>
  <w:num w:numId="21">
    <w:abstractNumId w:val="16"/>
  </w:num>
  <w:num w:numId="22">
    <w:abstractNumId w:val="23"/>
  </w:num>
  <w:num w:numId="23">
    <w:abstractNumId w:val="25"/>
  </w:num>
  <w:num w:numId="24">
    <w:abstractNumId w:val="27"/>
  </w:num>
  <w:num w:numId="25">
    <w:abstractNumId w:val="4"/>
  </w:num>
  <w:num w:numId="26">
    <w:abstractNumId w:val="7"/>
  </w:num>
  <w:num w:numId="27">
    <w:abstractNumId w:val="21"/>
  </w:num>
  <w:num w:numId="28">
    <w:abstractNumId w:val="30"/>
  </w:num>
  <w:num w:numId="29">
    <w:abstractNumId w:val="28"/>
  </w:num>
  <w:num w:numId="30">
    <w:abstractNumId w:val="1"/>
  </w:num>
  <w:num w:numId="31">
    <w:abstractNumId w:val="29"/>
  </w:num>
  <w:num w:numId="32">
    <w:abstractNumId w:val="5"/>
  </w:num>
  <w:num w:numId="33">
    <w:abstractNumId w:val="19"/>
  </w:num>
  <w:num w:numId="34">
    <w:abstractNumId w:val="0"/>
  </w:num>
  <w:num w:numId="35">
    <w:abstractNumId w:val="8"/>
  </w:num>
  <w:num w:numId="36">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activeWritingStyle w:appName="MSWord" w:lang="fr-FR"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E25"/>
    <w:rsid w:val="00001F5B"/>
    <w:rsid w:val="00002E23"/>
    <w:rsid w:val="00004EA6"/>
    <w:rsid w:val="00007E72"/>
    <w:rsid w:val="0001083A"/>
    <w:rsid w:val="00012A16"/>
    <w:rsid w:val="00027560"/>
    <w:rsid w:val="000276CC"/>
    <w:rsid w:val="000277A9"/>
    <w:rsid w:val="0004164D"/>
    <w:rsid w:val="00045627"/>
    <w:rsid w:val="000468E8"/>
    <w:rsid w:val="000558AC"/>
    <w:rsid w:val="00067099"/>
    <w:rsid w:val="00072FCD"/>
    <w:rsid w:val="00073E25"/>
    <w:rsid w:val="000753F6"/>
    <w:rsid w:val="00077513"/>
    <w:rsid w:val="00082019"/>
    <w:rsid w:val="00082AE0"/>
    <w:rsid w:val="000905A3"/>
    <w:rsid w:val="00092C11"/>
    <w:rsid w:val="00093077"/>
    <w:rsid w:val="00094345"/>
    <w:rsid w:val="000948CA"/>
    <w:rsid w:val="00094BFE"/>
    <w:rsid w:val="000953CE"/>
    <w:rsid w:val="00095D19"/>
    <w:rsid w:val="000A0330"/>
    <w:rsid w:val="000A12D1"/>
    <w:rsid w:val="000A2B4B"/>
    <w:rsid w:val="000A4D94"/>
    <w:rsid w:val="000A5375"/>
    <w:rsid w:val="000A72E3"/>
    <w:rsid w:val="000A7B87"/>
    <w:rsid w:val="000B1232"/>
    <w:rsid w:val="000B48C8"/>
    <w:rsid w:val="000B61B8"/>
    <w:rsid w:val="000B6666"/>
    <w:rsid w:val="000B7884"/>
    <w:rsid w:val="000C2755"/>
    <w:rsid w:val="000C3016"/>
    <w:rsid w:val="000C4A1C"/>
    <w:rsid w:val="000C4EB7"/>
    <w:rsid w:val="000C527B"/>
    <w:rsid w:val="000C5669"/>
    <w:rsid w:val="000C653D"/>
    <w:rsid w:val="000D3E39"/>
    <w:rsid w:val="000D61E0"/>
    <w:rsid w:val="000D7C8C"/>
    <w:rsid w:val="000E2A69"/>
    <w:rsid w:val="000E2C05"/>
    <w:rsid w:val="000E432D"/>
    <w:rsid w:val="000E5148"/>
    <w:rsid w:val="000E70C5"/>
    <w:rsid w:val="000F33B7"/>
    <w:rsid w:val="000F475C"/>
    <w:rsid w:val="000F5621"/>
    <w:rsid w:val="000F73E3"/>
    <w:rsid w:val="00102889"/>
    <w:rsid w:val="00102C75"/>
    <w:rsid w:val="00104C3F"/>
    <w:rsid w:val="00104CBA"/>
    <w:rsid w:val="001142D3"/>
    <w:rsid w:val="001160C4"/>
    <w:rsid w:val="00116627"/>
    <w:rsid w:val="00116769"/>
    <w:rsid w:val="00117A50"/>
    <w:rsid w:val="00120907"/>
    <w:rsid w:val="00122877"/>
    <w:rsid w:val="001239D8"/>
    <w:rsid w:val="00126E15"/>
    <w:rsid w:val="00127A95"/>
    <w:rsid w:val="00127EA4"/>
    <w:rsid w:val="0013138E"/>
    <w:rsid w:val="0013154A"/>
    <w:rsid w:val="00141435"/>
    <w:rsid w:val="00141452"/>
    <w:rsid w:val="001439C5"/>
    <w:rsid w:val="00143BCA"/>
    <w:rsid w:val="00143C21"/>
    <w:rsid w:val="00145340"/>
    <w:rsid w:val="0014629D"/>
    <w:rsid w:val="001470A9"/>
    <w:rsid w:val="00151B92"/>
    <w:rsid w:val="00155B77"/>
    <w:rsid w:val="00156758"/>
    <w:rsid w:val="00160898"/>
    <w:rsid w:val="00162F40"/>
    <w:rsid w:val="00164E6B"/>
    <w:rsid w:val="001656F1"/>
    <w:rsid w:val="00166088"/>
    <w:rsid w:val="0016727E"/>
    <w:rsid w:val="00167E0B"/>
    <w:rsid w:val="00171EE9"/>
    <w:rsid w:val="0017214B"/>
    <w:rsid w:val="0017604F"/>
    <w:rsid w:val="00176789"/>
    <w:rsid w:val="0018055C"/>
    <w:rsid w:val="001808D0"/>
    <w:rsid w:val="001810F7"/>
    <w:rsid w:val="00182DC0"/>
    <w:rsid w:val="001866B5"/>
    <w:rsid w:val="00190212"/>
    <w:rsid w:val="00191579"/>
    <w:rsid w:val="00191A62"/>
    <w:rsid w:val="001926CD"/>
    <w:rsid w:val="00193447"/>
    <w:rsid w:val="00193709"/>
    <w:rsid w:val="00193DCF"/>
    <w:rsid w:val="001A65B6"/>
    <w:rsid w:val="001A770F"/>
    <w:rsid w:val="001B3608"/>
    <w:rsid w:val="001B550A"/>
    <w:rsid w:val="001B5E6C"/>
    <w:rsid w:val="001B7C21"/>
    <w:rsid w:val="001C0089"/>
    <w:rsid w:val="001C129F"/>
    <w:rsid w:val="001C455F"/>
    <w:rsid w:val="001C4F9D"/>
    <w:rsid w:val="001C5C76"/>
    <w:rsid w:val="001D4BE5"/>
    <w:rsid w:val="001D4C88"/>
    <w:rsid w:val="001D6280"/>
    <w:rsid w:val="001D68BC"/>
    <w:rsid w:val="001E27C8"/>
    <w:rsid w:val="001E30DA"/>
    <w:rsid w:val="001E3584"/>
    <w:rsid w:val="001F1025"/>
    <w:rsid w:val="001F43E0"/>
    <w:rsid w:val="001F7FF9"/>
    <w:rsid w:val="00200B5A"/>
    <w:rsid w:val="002027BD"/>
    <w:rsid w:val="0020570F"/>
    <w:rsid w:val="00205FEC"/>
    <w:rsid w:val="00210027"/>
    <w:rsid w:val="0021108D"/>
    <w:rsid w:val="00211DA2"/>
    <w:rsid w:val="00214A2A"/>
    <w:rsid w:val="002214AA"/>
    <w:rsid w:val="002215F9"/>
    <w:rsid w:val="002247EC"/>
    <w:rsid w:val="002262BC"/>
    <w:rsid w:val="002265C8"/>
    <w:rsid w:val="00226E9E"/>
    <w:rsid w:val="002273B2"/>
    <w:rsid w:val="00227812"/>
    <w:rsid w:val="002326F8"/>
    <w:rsid w:val="00233023"/>
    <w:rsid w:val="00234AE0"/>
    <w:rsid w:val="00235690"/>
    <w:rsid w:val="00235BF9"/>
    <w:rsid w:val="002376BB"/>
    <w:rsid w:val="00240283"/>
    <w:rsid w:val="00241E41"/>
    <w:rsid w:val="00243D70"/>
    <w:rsid w:val="002451B1"/>
    <w:rsid w:val="00246702"/>
    <w:rsid w:val="00253586"/>
    <w:rsid w:val="00253877"/>
    <w:rsid w:val="002548C9"/>
    <w:rsid w:val="00255D7E"/>
    <w:rsid w:val="00256DC0"/>
    <w:rsid w:val="002615DB"/>
    <w:rsid w:val="00261C8E"/>
    <w:rsid w:val="00263AB3"/>
    <w:rsid w:val="0026624A"/>
    <w:rsid w:val="0026773F"/>
    <w:rsid w:val="00272915"/>
    <w:rsid w:val="002733B0"/>
    <w:rsid w:val="002741EB"/>
    <w:rsid w:val="00276C3C"/>
    <w:rsid w:val="00277D5F"/>
    <w:rsid w:val="00282B19"/>
    <w:rsid w:val="00284E57"/>
    <w:rsid w:val="00290465"/>
    <w:rsid w:val="00293432"/>
    <w:rsid w:val="00293FAB"/>
    <w:rsid w:val="00294789"/>
    <w:rsid w:val="00296879"/>
    <w:rsid w:val="0029784B"/>
    <w:rsid w:val="002A2B9B"/>
    <w:rsid w:val="002A39D1"/>
    <w:rsid w:val="002A4362"/>
    <w:rsid w:val="002A6596"/>
    <w:rsid w:val="002A7619"/>
    <w:rsid w:val="002A798B"/>
    <w:rsid w:val="002B1171"/>
    <w:rsid w:val="002B40C0"/>
    <w:rsid w:val="002B6014"/>
    <w:rsid w:val="002C0D2F"/>
    <w:rsid w:val="002C11A0"/>
    <w:rsid w:val="002C1B09"/>
    <w:rsid w:val="002C7687"/>
    <w:rsid w:val="002C7CB5"/>
    <w:rsid w:val="002D27BE"/>
    <w:rsid w:val="002D5703"/>
    <w:rsid w:val="002E0BAF"/>
    <w:rsid w:val="002F1271"/>
    <w:rsid w:val="002F2D33"/>
    <w:rsid w:val="0030097B"/>
    <w:rsid w:val="003012FF"/>
    <w:rsid w:val="003019D3"/>
    <w:rsid w:val="003100BA"/>
    <w:rsid w:val="003132CD"/>
    <w:rsid w:val="003144A3"/>
    <w:rsid w:val="00314D25"/>
    <w:rsid w:val="00315D16"/>
    <w:rsid w:val="00316532"/>
    <w:rsid w:val="003170D0"/>
    <w:rsid w:val="00322411"/>
    <w:rsid w:val="00325A51"/>
    <w:rsid w:val="0033030E"/>
    <w:rsid w:val="00330DB7"/>
    <w:rsid w:val="0033242D"/>
    <w:rsid w:val="003354E3"/>
    <w:rsid w:val="003403AD"/>
    <w:rsid w:val="003415D1"/>
    <w:rsid w:val="00341789"/>
    <w:rsid w:val="00342705"/>
    <w:rsid w:val="00342A25"/>
    <w:rsid w:val="003443B0"/>
    <w:rsid w:val="00344E8E"/>
    <w:rsid w:val="00345A91"/>
    <w:rsid w:val="00350F87"/>
    <w:rsid w:val="00353985"/>
    <w:rsid w:val="00357E0D"/>
    <w:rsid w:val="003608C5"/>
    <w:rsid w:val="00360EEF"/>
    <w:rsid w:val="0036692A"/>
    <w:rsid w:val="003669EA"/>
    <w:rsid w:val="00366AF1"/>
    <w:rsid w:val="003677A2"/>
    <w:rsid w:val="00371F25"/>
    <w:rsid w:val="003732FE"/>
    <w:rsid w:val="0037798F"/>
    <w:rsid w:val="00380247"/>
    <w:rsid w:val="0038175B"/>
    <w:rsid w:val="0038446F"/>
    <w:rsid w:val="00386A3B"/>
    <w:rsid w:val="0039068D"/>
    <w:rsid w:val="00391385"/>
    <w:rsid w:val="003920B7"/>
    <w:rsid w:val="0039224E"/>
    <w:rsid w:val="003933F7"/>
    <w:rsid w:val="00393AE0"/>
    <w:rsid w:val="00393B33"/>
    <w:rsid w:val="0039673A"/>
    <w:rsid w:val="00397EBD"/>
    <w:rsid w:val="003A03AE"/>
    <w:rsid w:val="003A1E67"/>
    <w:rsid w:val="003A2E92"/>
    <w:rsid w:val="003A4375"/>
    <w:rsid w:val="003A7CA0"/>
    <w:rsid w:val="003B328F"/>
    <w:rsid w:val="003B3E9F"/>
    <w:rsid w:val="003B48BC"/>
    <w:rsid w:val="003B4BF6"/>
    <w:rsid w:val="003B50E0"/>
    <w:rsid w:val="003B7985"/>
    <w:rsid w:val="003C2628"/>
    <w:rsid w:val="003C2C65"/>
    <w:rsid w:val="003C2E2F"/>
    <w:rsid w:val="003C61AB"/>
    <w:rsid w:val="003C641B"/>
    <w:rsid w:val="003D097F"/>
    <w:rsid w:val="003D0B5C"/>
    <w:rsid w:val="003D5DDD"/>
    <w:rsid w:val="003E09A9"/>
    <w:rsid w:val="003E1FAD"/>
    <w:rsid w:val="003E3DAE"/>
    <w:rsid w:val="003F096E"/>
    <w:rsid w:val="003F19D9"/>
    <w:rsid w:val="003F1BB8"/>
    <w:rsid w:val="003F20B7"/>
    <w:rsid w:val="003F2803"/>
    <w:rsid w:val="003F2F9F"/>
    <w:rsid w:val="003F5EDA"/>
    <w:rsid w:val="003F68C2"/>
    <w:rsid w:val="003F6EC4"/>
    <w:rsid w:val="00401DF1"/>
    <w:rsid w:val="0040444E"/>
    <w:rsid w:val="00404BD5"/>
    <w:rsid w:val="00407BD8"/>
    <w:rsid w:val="00413412"/>
    <w:rsid w:val="00414536"/>
    <w:rsid w:val="004162B3"/>
    <w:rsid w:val="00417482"/>
    <w:rsid w:val="004174E2"/>
    <w:rsid w:val="00420E2C"/>
    <w:rsid w:val="00422753"/>
    <w:rsid w:val="00423CFC"/>
    <w:rsid w:val="00426211"/>
    <w:rsid w:val="004266C5"/>
    <w:rsid w:val="00437FBA"/>
    <w:rsid w:val="00440741"/>
    <w:rsid w:val="0044188E"/>
    <w:rsid w:val="00441992"/>
    <w:rsid w:val="00441E80"/>
    <w:rsid w:val="00443210"/>
    <w:rsid w:val="004540B4"/>
    <w:rsid w:val="004557EF"/>
    <w:rsid w:val="00455D47"/>
    <w:rsid w:val="00460EDF"/>
    <w:rsid w:val="004622E1"/>
    <w:rsid w:val="0047003D"/>
    <w:rsid w:val="0047092F"/>
    <w:rsid w:val="00471141"/>
    <w:rsid w:val="00472F22"/>
    <w:rsid w:val="00473327"/>
    <w:rsid w:val="00475BD8"/>
    <w:rsid w:val="00476468"/>
    <w:rsid w:val="00484758"/>
    <w:rsid w:val="004855FE"/>
    <w:rsid w:val="00486CDE"/>
    <w:rsid w:val="00490495"/>
    <w:rsid w:val="00493AC0"/>
    <w:rsid w:val="004957B1"/>
    <w:rsid w:val="004B5837"/>
    <w:rsid w:val="004B6CD9"/>
    <w:rsid w:val="004C287E"/>
    <w:rsid w:val="004C2AFB"/>
    <w:rsid w:val="004C4B20"/>
    <w:rsid w:val="004C5E9A"/>
    <w:rsid w:val="004C673E"/>
    <w:rsid w:val="004D055D"/>
    <w:rsid w:val="004D6EB6"/>
    <w:rsid w:val="004D7434"/>
    <w:rsid w:val="004E0349"/>
    <w:rsid w:val="004E0B80"/>
    <w:rsid w:val="004E2365"/>
    <w:rsid w:val="004E2BE9"/>
    <w:rsid w:val="004E3FEF"/>
    <w:rsid w:val="004E5A5A"/>
    <w:rsid w:val="004E7875"/>
    <w:rsid w:val="004E7E48"/>
    <w:rsid w:val="004F4B32"/>
    <w:rsid w:val="004F5AD9"/>
    <w:rsid w:val="00502FED"/>
    <w:rsid w:val="005043D3"/>
    <w:rsid w:val="00504409"/>
    <w:rsid w:val="0050741D"/>
    <w:rsid w:val="0051501D"/>
    <w:rsid w:val="0051775C"/>
    <w:rsid w:val="00521E7B"/>
    <w:rsid w:val="00522466"/>
    <w:rsid w:val="00525040"/>
    <w:rsid w:val="00525605"/>
    <w:rsid w:val="00526A9E"/>
    <w:rsid w:val="00526B8B"/>
    <w:rsid w:val="005320A1"/>
    <w:rsid w:val="005325C7"/>
    <w:rsid w:val="00533D8F"/>
    <w:rsid w:val="00533F6A"/>
    <w:rsid w:val="00534A98"/>
    <w:rsid w:val="005355FA"/>
    <w:rsid w:val="00540773"/>
    <w:rsid w:val="00543984"/>
    <w:rsid w:val="00545C54"/>
    <w:rsid w:val="00546377"/>
    <w:rsid w:val="00550A47"/>
    <w:rsid w:val="00552B32"/>
    <w:rsid w:val="005554C5"/>
    <w:rsid w:val="00556B6F"/>
    <w:rsid w:val="0055756D"/>
    <w:rsid w:val="005577B8"/>
    <w:rsid w:val="00557ADC"/>
    <w:rsid w:val="00560777"/>
    <w:rsid w:val="005614AB"/>
    <w:rsid w:val="005618C1"/>
    <w:rsid w:val="00563074"/>
    <w:rsid w:val="005635D4"/>
    <w:rsid w:val="00565B77"/>
    <w:rsid w:val="00566373"/>
    <w:rsid w:val="005663F2"/>
    <w:rsid w:val="00566A43"/>
    <w:rsid w:val="00566B4B"/>
    <w:rsid w:val="00566F79"/>
    <w:rsid w:val="00571E7E"/>
    <w:rsid w:val="005731C5"/>
    <w:rsid w:val="00573EB3"/>
    <w:rsid w:val="00581A11"/>
    <w:rsid w:val="00582192"/>
    <w:rsid w:val="00584B05"/>
    <w:rsid w:val="0058640F"/>
    <w:rsid w:val="00587793"/>
    <w:rsid w:val="00590C9A"/>
    <w:rsid w:val="00590F36"/>
    <w:rsid w:val="005917E6"/>
    <w:rsid w:val="00594B82"/>
    <w:rsid w:val="00596FB7"/>
    <w:rsid w:val="005970AB"/>
    <w:rsid w:val="005A2D73"/>
    <w:rsid w:val="005A60C6"/>
    <w:rsid w:val="005A6E0B"/>
    <w:rsid w:val="005A6E2A"/>
    <w:rsid w:val="005A7C61"/>
    <w:rsid w:val="005B1BF3"/>
    <w:rsid w:val="005B20C1"/>
    <w:rsid w:val="005B42FD"/>
    <w:rsid w:val="005B6429"/>
    <w:rsid w:val="005B6647"/>
    <w:rsid w:val="005B7D69"/>
    <w:rsid w:val="005C49C4"/>
    <w:rsid w:val="005C5AF4"/>
    <w:rsid w:val="005C70DB"/>
    <w:rsid w:val="005D7CA1"/>
    <w:rsid w:val="005E32AA"/>
    <w:rsid w:val="005E3513"/>
    <w:rsid w:val="005E4125"/>
    <w:rsid w:val="005E44CD"/>
    <w:rsid w:val="005F71FE"/>
    <w:rsid w:val="005F729A"/>
    <w:rsid w:val="006059A0"/>
    <w:rsid w:val="00607CEF"/>
    <w:rsid w:val="006152BC"/>
    <w:rsid w:val="006231A2"/>
    <w:rsid w:val="00623451"/>
    <w:rsid w:val="00623F96"/>
    <w:rsid w:val="00632873"/>
    <w:rsid w:val="00633E07"/>
    <w:rsid w:val="0063424C"/>
    <w:rsid w:val="00634494"/>
    <w:rsid w:val="00635FD1"/>
    <w:rsid w:val="00637132"/>
    <w:rsid w:val="0063731E"/>
    <w:rsid w:val="00637DCB"/>
    <w:rsid w:val="006403E7"/>
    <w:rsid w:val="00642625"/>
    <w:rsid w:val="006433BC"/>
    <w:rsid w:val="00643630"/>
    <w:rsid w:val="00646484"/>
    <w:rsid w:val="006518F7"/>
    <w:rsid w:val="00651903"/>
    <w:rsid w:val="00652110"/>
    <w:rsid w:val="006529C6"/>
    <w:rsid w:val="00656BC1"/>
    <w:rsid w:val="00657974"/>
    <w:rsid w:val="006605E3"/>
    <w:rsid w:val="006618B2"/>
    <w:rsid w:val="00661A41"/>
    <w:rsid w:val="0066245B"/>
    <w:rsid w:val="00662AB0"/>
    <w:rsid w:val="006678D2"/>
    <w:rsid w:val="00667D42"/>
    <w:rsid w:val="006701F6"/>
    <w:rsid w:val="00670E64"/>
    <w:rsid w:val="00670F14"/>
    <w:rsid w:val="00671C6E"/>
    <w:rsid w:val="006821A3"/>
    <w:rsid w:val="006875B2"/>
    <w:rsid w:val="0069126A"/>
    <w:rsid w:val="0069253A"/>
    <w:rsid w:val="00693307"/>
    <w:rsid w:val="006933C2"/>
    <w:rsid w:val="006934D4"/>
    <w:rsid w:val="006973B1"/>
    <w:rsid w:val="006A2252"/>
    <w:rsid w:val="006A3DE1"/>
    <w:rsid w:val="006A7542"/>
    <w:rsid w:val="006B06C2"/>
    <w:rsid w:val="006B1B08"/>
    <w:rsid w:val="006B1C9D"/>
    <w:rsid w:val="006B31DE"/>
    <w:rsid w:val="006B5CB7"/>
    <w:rsid w:val="006B6835"/>
    <w:rsid w:val="006B7F0F"/>
    <w:rsid w:val="006C006C"/>
    <w:rsid w:val="006C0B9E"/>
    <w:rsid w:val="006C17D0"/>
    <w:rsid w:val="006C487F"/>
    <w:rsid w:val="006C497D"/>
    <w:rsid w:val="006C7045"/>
    <w:rsid w:val="006D0DEA"/>
    <w:rsid w:val="006D5FC5"/>
    <w:rsid w:val="006E1E26"/>
    <w:rsid w:val="006E32C3"/>
    <w:rsid w:val="006E6957"/>
    <w:rsid w:val="006E6E61"/>
    <w:rsid w:val="006F0D6B"/>
    <w:rsid w:val="006F43C9"/>
    <w:rsid w:val="006F6CA5"/>
    <w:rsid w:val="006F7F38"/>
    <w:rsid w:val="007028DE"/>
    <w:rsid w:val="00703E84"/>
    <w:rsid w:val="0070584F"/>
    <w:rsid w:val="00705861"/>
    <w:rsid w:val="00706AAC"/>
    <w:rsid w:val="007113B9"/>
    <w:rsid w:val="007117E1"/>
    <w:rsid w:val="00712421"/>
    <w:rsid w:val="00712C09"/>
    <w:rsid w:val="00716C60"/>
    <w:rsid w:val="00722168"/>
    <w:rsid w:val="007236AE"/>
    <w:rsid w:val="00723A3B"/>
    <w:rsid w:val="00724005"/>
    <w:rsid w:val="00726598"/>
    <w:rsid w:val="00727B0A"/>
    <w:rsid w:val="00732777"/>
    <w:rsid w:val="007333FD"/>
    <w:rsid w:val="0073377D"/>
    <w:rsid w:val="00734F48"/>
    <w:rsid w:val="00736010"/>
    <w:rsid w:val="00737FA3"/>
    <w:rsid w:val="00741C87"/>
    <w:rsid w:val="00742AF0"/>
    <w:rsid w:val="00743751"/>
    <w:rsid w:val="00745885"/>
    <w:rsid w:val="00745B25"/>
    <w:rsid w:val="0075354D"/>
    <w:rsid w:val="00753647"/>
    <w:rsid w:val="00754331"/>
    <w:rsid w:val="007566EA"/>
    <w:rsid w:val="00756C69"/>
    <w:rsid w:val="007577F9"/>
    <w:rsid w:val="007578EB"/>
    <w:rsid w:val="00760935"/>
    <w:rsid w:val="007610FF"/>
    <w:rsid w:val="00761B58"/>
    <w:rsid w:val="00761DFE"/>
    <w:rsid w:val="00762DB7"/>
    <w:rsid w:val="0076436C"/>
    <w:rsid w:val="00765229"/>
    <w:rsid w:val="007670E5"/>
    <w:rsid w:val="00767B4E"/>
    <w:rsid w:val="0077068A"/>
    <w:rsid w:val="00774195"/>
    <w:rsid w:val="007749F9"/>
    <w:rsid w:val="00774E3E"/>
    <w:rsid w:val="00776B5D"/>
    <w:rsid w:val="0078262B"/>
    <w:rsid w:val="0078573D"/>
    <w:rsid w:val="00786E92"/>
    <w:rsid w:val="00794CEF"/>
    <w:rsid w:val="00796C25"/>
    <w:rsid w:val="00796E8F"/>
    <w:rsid w:val="007A059C"/>
    <w:rsid w:val="007A13B8"/>
    <w:rsid w:val="007A6463"/>
    <w:rsid w:val="007A7ADD"/>
    <w:rsid w:val="007B0773"/>
    <w:rsid w:val="007B12D6"/>
    <w:rsid w:val="007B3157"/>
    <w:rsid w:val="007B33E5"/>
    <w:rsid w:val="007B45B7"/>
    <w:rsid w:val="007B4B13"/>
    <w:rsid w:val="007B4DCE"/>
    <w:rsid w:val="007B53D3"/>
    <w:rsid w:val="007B5DE5"/>
    <w:rsid w:val="007B764B"/>
    <w:rsid w:val="007C2BAE"/>
    <w:rsid w:val="007C6B92"/>
    <w:rsid w:val="007D4228"/>
    <w:rsid w:val="007D53D5"/>
    <w:rsid w:val="007E00D7"/>
    <w:rsid w:val="007E6A30"/>
    <w:rsid w:val="007F124F"/>
    <w:rsid w:val="007F1641"/>
    <w:rsid w:val="007F637C"/>
    <w:rsid w:val="00802FFC"/>
    <w:rsid w:val="00803BCC"/>
    <w:rsid w:val="00803EAB"/>
    <w:rsid w:val="00804E06"/>
    <w:rsid w:val="00806B87"/>
    <w:rsid w:val="008077BF"/>
    <w:rsid w:val="00810003"/>
    <w:rsid w:val="008117E0"/>
    <w:rsid w:val="008158E7"/>
    <w:rsid w:val="008173B5"/>
    <w:rsid w:val="0082044F"/>
    <w:rsid w:val="008210E8"/>
    <w:rsid w:val="00823513"/>
    <w:rsid w:val="00823F9A"/>
    <w:rsid w:val="00826B10"/>
    <w:rsid w:val="0083126B"/>
    <w:rsid w:val="00834412"/>
    <w:rsid w:val="008347A2"/>
    <w:rsid w:val="008370DB"/>
    <w:rsid w:val="00841D44"/>
    <w:rsid w:val="0084256C"/>
    <w:rsid w:val="008432FD"/>
    <w:rsid w:val="008467A8"/>
    <w:rsid w:val="00846DD5"/>
    <w:rsid w:val="00852C3E"/>
    <w:rsid w:val="00857DF8"/>
    <w:rsid w:val="008609A5"/>
    <w:rsid w:val="00860B32"/>
    <w:rsid w:val="00861173"/>
    <w:rsid w:val="00863534"/>
    <w:rsid w:val="0086365A"/>
    <w:rsid w:val="00866375"/>
    <w:rsid w:val="00866FDC"/>
    <w:rsid w:val="00872603"/>
    <w:rsid w:val="0087630A"/>
    <w:rsid w:val="0088169C"/>
    <w:rsid w:val="00882147"/>
    <w:rsid w:val="0088227A"/>
    <w:rsid w:val="008826AE"/>
    <w:rsid w:val="00882BFB"/>
    <w:rsid w:val="00886081"/>
    <w:rsid w:val="008867DD"/>
    <w:rsid w:val="00890E7E"/>
    <w:rsid w:val="00892082"/>
    <w:rsid w:val="00892187"/>
    <w:rsid w:val="00892926"/>
    <w:rsid w:val="0089323A"/>
    <w:rsid w:val="0089328F"/>
    <w:rsid w:val="00897BF1"/>
    <w:rsid w:val="008A2190"/>
    <w:rsid w:val="008A2DF6"/>
    <w:rsid w:val="008A753B"/>
    <w:rsid w:val="008A75AE"/>
    <w:rsid w:val="008B0AFE"/>
    <w:rsid w:val="008B1FE2"/>
    <w:rsid w:val="008B4191"/>
    <w:rsid w:val="008B5FD7"/>
    <w:rsid w:val="008C2102"/>
    <w:rsid w:val="008C4BC2"/>
    <w:rsid w:val="008C73F4"/>
    <w:rsid w:val="008D2695"/>
    <w:rsid w:val="008D2737"/>
    <w:rsid w:val="008D3BAD"/>
    <w:rsid w:val="008D5E69"/>
    <w:rsid w:val="008D6E64"/>
    <w:rsid w:val="008E10C6"/>
    <w:rsid w:val="008E2F2F"/>
    <w:rsid w:val="008E442A"/>
    <w:rsid w:val="008E54F5"/>
    <w:rsid w:val="008E60FA"/>
    <w:rsid w:val="008F0788"/>
    <w:rsid w:val="008F18DF"/>
    <w:rsid w:val="008F5F07"/>
    <w:rsid w:val="008F770D"/>
    <w:rsid w:val="00901436"/>
    <w:rsid w:val="00901BCA"/>
    <w:rsid w:val="00902C7B"/>
    <w:rsid w:val="0090337B"/>
    <w:rsid w:val="00906C1C"/>
    <w:rsid w:val="00907009"/>
    <w:rsid w:val="00910369"/>
    <w:rsid w:val="009112DC"/>
    <w:rsid w:val="00913A29"/>
    <w:rsid w:val="00916319"/>
    <w:rsid w:val="00917100"/>
    <w:rsid w:val="0091758F"/>
    <w:rsid w:val="00922DE5"/>
    <w:rsid w:val="00923746"/>
    <w:rsid w:val="009250CA"/>
    <w:rsid w:val="00927FC4"/>
    <w:rsid w:val="009418D7"/>
    <w:rsid w:val="00941BF6"/>
    <w:rsid w:val="009421AC"/>
    <w:rsid w:val="00942FAF"/>
    <w:rsid w:val="009441C4"/>
    <w:rsid w:val="00944360"/>
    <w:rsid w:val="00944EB3"/>
    <w:rsid w:val="00950509"/>
    <w:rsid w:val="00954AD0"/>
    <w:rsid w:val="009550BE"/>
    <w:rsid w:val="00956B49"/>
    <w:rsid w:val="00957D71"/>
    <w:rsid w:val="00962EFF"/>
    <w:rsid w:val="0096395F"/>
    <w:rsid w:val="00966730"/>
    <w:rsid w:val="0097189F"/>
    <w:rsid w:val="009744BD"/>
    <w:rsid w:val="00974B3D"/>
    <w:rsid w:val="00976222"/>
    <w:rsid w:val="009802B3"/>
    <w:rsid w:val="00981D69"/>
    <w:rsid w:val="00982FC6"/>
    <w:rsid w:val="00983067"/>
    <w:rsid w:val="0098314B"/>
    <w:rsid w:val="0098386D"/>
    <w:rsid w:val="00985DD4"/>
    <w:rsid w:val="00987BF8"/>
    <w:rsid w:val="00990377"/>
    <w:rsid w:val="00990D65"/>
    <w:rsid w:val="009923E2"/>
    <w:rsid w:val="009928EA"/>
    <w:rsid w:val="0099621B"/>
    <w:rsid w:val="009A1562"/>
    <w:rsid w:val="009A3777"/>
    <w:rsid w:val="009A7158"/>
    <w:rsid w:val="009B20E2"/>
    <w:rsid w:val="009C0AAE"/>
    <w:rsid w:val="009C1658"/>
    <w:rsid w:val="009C19B7"/>
    <w:rsid w:val="009C317F"/>
    <w:rsid w:val="009C43CE"/>
    <w:rsid w:val="009D29E4"/>
    <w:rsid w:val="009D4906"/>
    <w:rsid w:val="009D5863"/>
    <w:rsid w:val="009D65DF"/>
    <w:rsid w:val="009D7E35"/>
    <w:rsid w:val="009E0225"/>
    <w:rsid w:val="009E0CF3"/>
    <w:rsid w:val="009E16BB"/>
    <w:rsid w:val="009E604F"/>
    <w:rsid w:val="009F155D"/>
    <w:rsid w:val="009F4802"/>
    <w:rsid w:val="009F65E0"/>
    <w:rsid w:val="009F67CB"/>
    <w:rsid w:val="009F7C7E"/>
    <w:rsid w:val="00A03BEC"/>
    <w:rsid w:val="00A04FD7"/>
    <w:rsid w:val="00A10375"/>
    <w:rsid w:val="00A13353"/>
    <w:rsid w:val="00A13375"/>
    <w:rsid w:val="00A146B9"/>
    <w:rsid w:val="00A150EC"/>
    <w:rsid w:val="00A178DB"/>
    <w:rsid w:val="00A20BB2"/>
    <w:rsid w:val="00A20E7A"/>
    <w:rsid w:val="00A21EDD"/>
    <w:rsid w:val="00A2360D"/>
    <w:rsid w:val="00A3000F"/>
    <w:rsid w:val="00A31799"/>
    <w:rsid w:val="00A33EDB"/>
    <w:rsid w:val="00A345EB"/>
    <w:rsid w:val="00A3721E"/>
    <w:rsid w:val="00A415D8"/>
    <w:rsid w:val="00A4375A"/>
    <w:rsid w:val="00A4541F"/>
    <w:rsid w:val="00A47F84"/>
    <w:rsid w:val="00A50EDF"/>
    <w:rsid w:val="00A50FA3"/>
    <w:rsid w:val="00A51807"/>
    <w:rsid w:val="00A54E04"/>
    <w:rsid w:val="00A55F90"/>
    <w:rsid w:val="00A61DFF"/>
    <w:rsid w:val="00A62212"/>
    <w:rsid w:val="00A67941"/>
    <w:rsid w:val="00A71003"/>
    <w:rsid w:val="00A7275C"/>
    <w:rsid w:val="00A82063"/>
    <w:rsid w:val="00A85BE0"/>
    <w:rsid w:val="00A87432"/>
    <w:rsid w:val="00A87551"/>
    <w:rsid w:val="00A93BDE"/>
    <w:rsid w:val="00A94D43"/>
    <w:rsid w:val="00A95612"/>
    <w:rsid w:val="00A969C1"/>
    <w:rsid w:val="00AA3170"/>
    <w:rsid w:val="00AA6AEF"/>
    <w:rsid w:val="00AA78FD"/>
    <w:rsid w:val="00AB4F08"/>
    <w:rsid w:val="00AB7A9A"/>
    <w:rsid w:val="00AC01B8"/>
    <w:rsid w:val="00AC0D82"/>
    <w:rsid w:val="00AC5B78"/>
    <w:rsid w:val="00AE3A94"/>
    <w:rsid w:val="00AE3EAB"/>
    <w:rsid w:val="00AE773F"/>
    <w:rsid w:val="00AF0D77"/>
    <w:rsid w:val="00AF1E11"/>
    <w:rsid w:val="00AF51FA"/>
    <w:rsid w:val="00AF6F0F"/>
    <w:rsid w:val="00B01A0C"/>
    <w:rsid w:val="00B01EED"/>
    <w:rsid w:val="00B03670"/>
    <w:rsid w:val="00B0701E"/>
    <w:rsid w:val="00B1042C"/>
    <w:rsid w:val="00B117B4"/>
    <w:rsid w:val="00B148D6"/>
    <w:rsid w:val="00B153FB"/>
    <w:rsid w:val="00B17A2F"/>
    <w:rsid w:val="00B222BE"/>
    <w:rsid w:val="00B266FA"/>
    <w:rsid w:val="00B3149B"/>
    <w:rsid w:val="00B3221A"/>
    <w:rsid w:val="00B34AB2"/>
    <w:rsid w:val="00B36E15"/>
    <w:rsid w:val="00B40655"/>
    <w:rsid w:val="00B434FD"/>
    <w:rsid w:val="00B46AF1"/>
    <w:rsid w:val="00B50F2B"/>
    <w:rsid w:val="00B51861"/>
    <w:rsid w:val="00B56EE3"/>
    <w:rsid w:val="00B57F90"/>
    <w:rsid w:val="00B61C2B"/>
    <w:rsid w:val="00B65E02"/>
    <w:rsid w:val="00B77BE6"/>
    <w:rsid w:val="00B8545B"/>
    <w:rsid w:val="00B917D9"/>
    <w:rsid w:val="00B91D14"/>
    <w:rsid w:val="00B92DD6"/>
    <w:rsid w:val="00B9316D"/>
    <w:rsid w:val="00B9326B"/>
    <w:rsid w:val="00B93ABA"/>
    <w:rsid w:val="00B96547"/>
    <w:rsid w:val="00BA087E"/>
    <w:rsid w:val="00BA1464"/>
    <w:rsid w:val="00BA1C25"/>
    <w:rsid w:val="00BA25F5"/>
    <w:rsid w:val="00BA3057"/>
    <w:rsid w:val="00BB1775"/>
    <w:rsid w:val="00BB1B70"/>
    <w:rsid w:val="00BB25F1"/>
    <w:rsid w:val="00BB69FE"/>
    <w:rsid w:val="00BC2DCB"/>
    <w:rsid w:val="00BC3DB4"/>
    <w:rsid w:val="00BC7650"/>
    <w:rsid w:val="00BC76FF"/>
    <w:rsid w:val="00BD07D0"/>
    <w:rsid w:val="00BD2195"/>
    <w:rsid w:val="00BD219F"/>
    <w:rsid w:val="00BD4E5C"/>
    <w:rsid w:val="00BD699A"/>
    <w:rsid w:val="00BD6B30"/>
    <w:rsid w:val="00BD6C89"/>
    <w:rsid w:val="00BE03DB"/>
    <w:rsid w:val="00BE1677"/>
    <w:rsid w:val="00BE39DB"/>
    <w:rsid w:val="00BE3E21"/>
    <w:rsid w:val="00BE3E98"/>
    <w:rsid w:val="00BE5AE3"/>
    <w:rsid w:val="00BE6420"/>
    <w:rsid w:val="00BE6B08"/>
    <w:rsid w:val="00BF22C0"/>
    <w:rsid w:val="00BF423F"/>
    <w:rsid w:val="00BF5280"/>
    <w:rsid w:val="00BF74FD"/>
    <w:rsid w:val="00C060EA"/>
    <w:rsid w:val="00C12137"/>
    <w:rsid w:val="00C157E4"/>
    <w:rsid w:val="00C226B4"/>
    <w:rsid w:val="00C2322D"/>
    <w:rsid w:val="00C27607"/>
    <w:rsid w:val="00C310F0"/>
    <w:rsid w:val="00C315A1"/>
    <w:rsid w:val="00C320E4"/>
    <w:rsid w:val="00C32CF1"/>
    <w:rsid w:val="00C3386E"/>
    <w:rsid w:val="00C338EE"/>
    <w:rsid w:val="00C34265"/>
    <w:rsid w:val="00C34F87"/>
    <w:rsid w:val="00C35569"/>
    <w:rsid w:val="00C37782"/>
    <w:rsid w:val="00C4090E"/>
    <w:rsid w:val="00C4289E"/>
    <w:rsid w:val="00C4465D"/>
    <w:rsid w:val="00C52CD1"/>
    <w:rsid w:val="00C53B88"/>
    <w:rsid w:val="00C53C97"/>
    <w:rsid w:val="00C54D4B"/>
    <w:rsid w:val="00C55FB9"/>
    <w:rsid w:val="00C566B0"/>
    <w:rsid w:val="00C579F1"/>
    <w:rsid w:val="00C66328"/>
    <w:rsid w:val="00C70754"/>
    <w:rsid w:val="00C72494"/>
    <w:rsid w:val="00C75894"/>
    <w:rsid w:val="00C83FFF"/>
    <w:rsid w:val="00C8613F"/>
    <w:rsid w:val="00C86828"/>
    <w:rsid w:val="00C86B72"/>
    <w:rsid w:val="00C9053E"/>
    <w:rsid w:val="00C96686"/>
    <w:rsid w:val="00C97C91"/>
    <w:rsid w:val="00CA02BB"/>
    <w:rsid w:val="00CA0E3A"/>
    <w:rsid w:val="00CA1B67"/>
    <w:rsid w:val="00CA3498"/>
    <w:rsid w:val="00CA364F"/>
    <w:rsid w:val="00CA48C8"/>
    <w:rsid w:val="00CB15B7"/>
    <w:rsid w:val="00CB3AC4"/>
    <w:rsid w:val="00CB458C"/>
    <w:rsid w:val="00CB6CB3"/>
    <w:rsid w:val="00CB7B62"/>
    <w:rsid w:val="00CC2E6B"/>
    <w:rsid w:val="00CC37D1"/>
    <w:rsid w:val="00CC392D"/>
    <w:rsid w:val="00CC5C68"/>
    <w:rsid w:val="00CC72F9"/>
    <w:rsid w:val="00CD2444"/>
    <w:rsid w:val="00CD3F84"/>
    <w:rsid w:val="00CD4C4A"/>
    <w:rsid w:val="00CD6637"/>
    <w:rsid w:val="00CE2EE7"/>
    <w:rsid w:val="00CE4A70"/>
    <w:rsid w:val="00CE7B41"/>
    <w:rsid w:val="00CF0664"/>
    <w:rsid w:val="00CF31F1"/>
    <w:rsid w:val="00CF32BE"/>
    <w:rsid w:val="00CF6145"/>
    <w:rsid w:val="00CF6CA4"/>
    <w:rsid w:val="00CF6D56"/>
    <w:rsid w:val="00D0022D"/>
    <w:rsid w:val="00D012C2"/>
    <w:rsid w:val="00D036F5"/>
    <w:rsid w:val="00D0397E"/>
    <w:rsid w:val="00D04CE7"/>
    <w:rsid w:val="00D20B56"/>
    <w:rsid w:val="00D22870"/>
    <w:rsid w:val="00D259EE"/>
    <w:rsid w:val="00D268DB"/>
    <w:rsid w:val="00D26F44"/>
    <w:rsid w:val="00D31F59"/>
    <w:rsid w:val="00D351A2"/>
    <w:rsid w:val="00D3707B"/>
    <w:rsid w:val="00D400EA"/>
    <w:rsid w:val="00D424A0"/>
    <w:rsid w:val="00D43742"/>
    <w:rsid w:val="00D43BBB"/>
    <w:rsid w:val="00D45C58"/>
    <w:rsid w:val="00D46C91"/>
    <w:rsid w:val="00D46D7B"/>
    <w:rsid w:val="00D46FAB"/>
    <w:rsid w:val="00D47A6F"/>
    <w:rsid w:val="00D47E77"/>
    <w:rsid w:val="00D50EE1"/>
    <w:rsid w:val="00D5104D"/>
    <w:rsid w:val="00D53E5B"/>
    <w:rsid w:val="00D53F13"/>
    <w:rsid w:val="00D55FDA"/>
    <w:rsid w:val="00D560A2"/>
    <w:rsid w:val="00D57639"/>
    <w:rsid w:val="00D60C61"/>
    <w:rsid w:val="00D615B0"/>
    <w:rsid w:val="00D640E4"/>
    <w:rsid w:val="00D65F7D"/>
    <w:rsid w:val="00D70D3B"/>
    <w:rsid w:val="00D7246D"/>
    <w:rsid w:val="00D72633"/>
    <w:rsid w:val="00D77136"/>
    <w:rsid w:val="00D772B4"/>
    <w:rsid w:val="00D82E6F"/>
    <w:rsid w:val="00D903A7"/>
    <w:rsid w:val="00D9261B"/>
    <w:rsid w:val="00D932CA"/>
    <w:rsid w:val="00D9465D"/>
    <w:rsid w:val="00DA00D8"/>
    <w:rsid w:val="00DA073B"/>
    <w:rsid w:val="00DA3B7E"/>
    <w:rsid w:val="00DA4FED"/>
    <w:rsid w:val="00DA67F4"/>
    <w:rsid w:val="00DB08F8"/>
    <w:rsid w:val="00DB0E13"/>
    <w:rsid w:val="00DB2FA8"/>
    <w:rsid w:val="00DB3335"/>
    <w:rsid w:val="00DB71BF"/>
    <w:rsid w:val="00DC00C0"/>
    <w:rsid w:val="00DC1B51"/>
    <w:rsid w:val="00DC22C1"/>
    <w:rsid w:val="00DC3259"/>
    <w:rsid w:val="00DC4251"/>
    <w:rsid w:val="00DD252E"/>
    <w:rsid w:val="00DD2C10"/>
    <w:rsid w:val="00DD564B"/>
    <w:rsid w:val="00DD796E"/>
    <w:rsid w:val="00DD79AF"/>
    <w:rsid w:val="00DD7B68"/>
    <w:rsid w:val="00DE2638"/>
    <w:rsid w:val="00DE6C34"/>
    <w:rsid w:val="00DF0658"/>
    <w:rsid w:val="00DF1AE7"/>
    <w:rsid w:val="00DF2EE6"/>
    <w:rsid w:val="00DF5961"/>
    <w:rsid w:val="00DF5BBA"/>
    <w:rsid w:val="00E00E57"/>
    <w:rsid w:val="00E01EE3"/>
    <w:rsid w:val="00E030FC"/>
    <w:rsid w:val="00E05834"/>
    <w:rsid w:val="00E07BA6"/>
    <w:rsid w:val="00E169DF"/>
    <w:rsid w:val="00E2087B"/>
    <w:rsid w:val="00E235AE"/>
    <w:rsid w:val="00E23B45"/>
    <w:rsid w:val="00E251CA"/>
    <w:rsid w:val="00E3045C"/>
    <w:rsid w:val="00E32BFE"/>
    <w:rsid w:val="00E35861"/>
    <w:rsid w:val="00E36131"/>
    <w:rsid w:val="00E365C6"/>
    <w:rsid w:val="00E36B5C"/>
    <w:rsid w:val="00E36D99"/>
    <w:rsid w:val="00E41123"/>
    <w:rsid w:val="00E41B3B"/>
    <w:rsid w:val="00E4207D"/>
    <w:rsid w:val="00E47A81"/>
    <w:rsid w:val="00E50BC0"/>
    <w:rsid w:val="00E50E6A"/>
    <w:rsid w:val="00E52D94"/>
    <w:rsid w:val="00E53605"/>
    <w:rsid w:val="00E536D0"/>
    <w:rsid w:val="00E54189"/>
    <w:rsid w:val="00E57DBA"/>
    <w:rsid w:val="00E64AA8"/>
    <w:rsid w:val="00E651C1"/>
    <w:rsid w:val="00E657BF"/>
    <w:rsid w:val="00E720D8"/>
    <w:rsid w:val="00E73578"/>
    <w:rsid w:val="00E740F0"/>
    <w:rsid w:val="00E771B4"/>
    <w:rsid w:val="00E775C7"/>
    <w:rsid w:val="00E80260"/>
    <w:rsid w:val="00E83CE2"/>
    <w:rsid w:val="00E85CFD"/>
    <w:rsid w:val="00E87DFC"/>
    <w:rsid w:val="00E914E5"/>
    <w:rsid w:val="00E94DF4"/>
    <w:rsid w:val="00E963ED"/>
    <w:rsid w:val="00E96642"/>
    <w:rsid w:val="00EA0407"/>
    <w:rsid w:val="00EA24AB"/>
    <w:rsid w:val="00EA3E0D"/>
    <w:rsid w:val="00EA5E31"/>
    <w:rsid w:val="00EA6130"/>
    <w:rsid w:val="00EA67E5"/>
    <w:rsid w:val="00EA6A97"/>
    <w:rsid w:val="00EB17DB"/>
    <w:rsid w:val="00EB20CC"/>
    <w:rsid w:val="00EB2CC3"/>
    <w:rsid w:val="00EC0F4F"/>
    <w:rsid w:val="00EC4F9C"/>
    <w:rsid w:val="00EC6E7A"/>
    <w:rsid w:val="00EC757D"/>
    <w:rsid w:val="00ED34CE"/>
    <w:rsid w:val="00EE132B"/>
    <w:rsid w:val="00EE472A"/>
    <w:rsid w:val="00EE605C"/>
    <w:rsid w:val="00EE6C1F"/>
    <w:rsid w:val="00EF2357"/>
    <w:rsid w:val="00EF596B"/>
    <w:rsid w:val="00F03ABB"/>
    <w:rsid w:val="00F0403A"/>
    <w:rsid w:val="00F04996"/>
    <w:rsid w:val="00F04E67"/>
    <w:rsid w:val="00F04FE5"/>
    <w:rsid w:val="00F06CFB"/>
    <w:rsid w:val="00F07CFD"/>
    <w:rsid w:val="00F1196E"/>
    <w:rsid w:val="00F168A6"/>
    <w:rsid w:val="00F22498"/>
    <w:rsid w:val="00F235D6"/>
    <w:rsid w:val="00F264FD"/>
    <w:rsid w:val="00F2772D"/>
    <w:rsid w:val="00F310EB"/>
    <w:rsid w:val="00F36B8F"/>
    <w:rsid w:val="00F37A45"/>
    <w:rsid w:val="00F37B0C"/>
    <w:rsid w:val="00F37D87"/>
    <w:rsid w:val="00F40622"/>
    <w:rsid w:val="00F41BDE"/>
    <w:rsid w:val="00F43A03"/>
    <w:rsid w:val="00F44E12"/>
    <w:rsid w:val="00F45E87"/>
    <w:rsid w:val="00F4671C"/>
    <w:rsid w:val="00F50C99"/>
    <w:rsid w:val="00F51A7D"/>
    <w:rsid w:val="00F53257"/>
    <w:rsid w:val="00F54D09"/>
    <w:rsid w:val="00F5711B"/>
    <w:rsid w:val="00F6211A"/>
    <w:rsid w:val="00F623AF"/>
    <w:rsid w:val="00F64ADF"/>
    <w:rsid w:val="00F6712A"/>
    <w:rsid w:val="00F6750B"/>
    <w:rsid w:val="00F71ED7"/>
    <w:rsid w:val="00F761AD"/>
    <w:rsid w:val="00F767C5"/>
    <w:rsid w:val="00F7709E"/>
    <w:rsid w:val="00F80612"/>
    <w:rsid w:val="00F865CF"/>
    <w:rsid w:val="00F87038"/>
    <w:rsid w:val="00F90E31"/>
    <w:rsid w:val="00F94E29"/>
    <w:rsid w:val="00F96582"/>
    <w:rsid w:val="00FA1229"/>
    <w:rsid w:val="00FA2A21"/>
    <w:rsid w:val="00FA2A8B"/>
    <w:rsid w:val="00FA4E1B"/>
    <w:rsid w:val="00FB37DF"/>
    <w:rsid w:val="00FB4C2A"/>
    <w:rsid w:val="00FB7FBC"/>
    <w:rsid w:val="00FC43EF"/>
    <w:rsid w:val="00FC614A"/>
    <w:rsid w:val="00FC7E0E"/>
    <w:rsid w:val="00FD21A4"/>
    <w:rsid w:val="00FD6CDF"/>
    <w:rsid w:val="00FE0BF5"/>
    <w:rsid w:val="00FE2D72"/>
    <w:rsid w:val="00FE797B"/>
    <w:rsid w:val="00FF3537"/>
    <w:rsid w:val="00FF5ACE"/>
    <w:rsid w:val="00FF5FB1"/>
    <w:rsid w:val="00FF6209"/>
    <w:rsid w:val="00FF6B5A"/>
    <w:rsid w:val="00FF75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360D"/>
    <w:rPr>
      <w:rFonts w:ascii="Arial" w:hAnsi="Arial"/>
      <w:lang w:eastAsia="en-US"/>
    </w:rPr>
  </w:style>
  <w:style w:type="paragraph" w:styleId="Heading1">
    <w:name w:val="heading 1"/>
    <w:basedOn w:val="Normal"/>
    <w:next w:val="Normal"/>
    <w:qFormat/>
    <w:pPr>
      <w:keepNext/>
      <w:numPr>
        <w:numId w:val="3"/>
      </w:numPr>
      <w:outlineLvl w:val="0"/>
    </w:pPr>
    <w:rPr>
      <w:b/>
      <w:bCs/>
      <w:lang w:val="fr-FR"/>
    </w:rPr>
  </w:style>
  <w:style w:type="paragraph" w:styleId="Heading2">
    <w:name w:val="heading 2"/>
    <w:basedOn w:val="Normal"/>
    <w:next w:val="Normal"/>
    <w:qFormat/>
    <w:pPr>
      <w:keepNext/>
      <w:numPr>
        <w:ilvl w:val="1"/>
        <w:numId w:val="3"/>
      </w:numPr>
      <w:tabs>
        <w:tab w:val="left" w:pos="1134"/>
        <w:tab w:val="left" w:pos="1701"/>
        <w:tab w:val="left" w:pos="2268"/>
        <w:tab w:val="left" w:pos="5670"/>
        <w:tab w:val="left" w:pos="6237"/>
      </w:tabs>
      <w:jc w:val="both"/>
      <w:outlineLvl w:val="1"/>
    </w:pPr>
    <w:rPr>
      <w:b/>
      <w:bCs/>
    </w:rPr>
  </w:style>
  <w:style w:type="paragraph" w:styleId="Heading3">
    <w:name w:val="heading 3"/>
    <w:basedOn w:val="Normal"/>
    <w:next w:val="Normal"/>
    <w:qFormat/>
    <w:rsid w:val="0086365A"/>
    <w:pPr>
      <w:keepNext/>
      <w:numPr>
        <w:ilvl w:val="2"/>
        <w:numId w:val="3"/>
      </w:numPr>
      <w:spacing w:before="240" w:after="60"/>
      <w:outlineLvl w:val="2"/>
    </w:pPr>
    <w:rPr>
      <w:b/>
      <w:bCs/>
      <w:sz w:val="26"/>
      <w:szCs w:val="26"/>
    </w:rPr>
  </w:style>
  <w:style w:type="paragraph" w:styleId="Heading4">
    <w:name w:val="heading 4"/>
    <w:basedOn w:val="Normal"/>
    <w:next w:val="Normal"/>
    <w:qFormat/>
    <w:rsid w:val="0086365A"/>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rsid w:val="0086365A"/>
    <w:pPr>
      <w:numPr>
        <w:ilvl w:val="4"/>
        <w:numId w:val="3"/>
      </w:numPr>
      <w:spacing w:before="240" w:after="60"/>
      <w:outlineLvl w:val="4"/>
    </w:pPr>
    <w:rPr>
      <w:b/>
      <w:bCs/>
      <w:i/>
      <w:iCs/>
      <w:sz w:val="26"/>
      <w:szCs w:val="26"/>
    </w:rPr>
  </w:style>
  <w:style w:type="paragraph" w:styleId="Heading6">
    <w:name w:val="heading 6"/>
    <w:basedOn w:val="Normal"/>
    <w:next w:val="Normal"/>
    <w:qFormat/>
    <w:rsid w:val="0086365A"/>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86365A"/>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86365A"/>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86365A"/>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pPr>
      <w:spacing w:line="240" w:lineRule="atLeast"/>
      <w:jc w:val="both"/>
    </w:pPr>
    <w:rPr>
      <w:lang w:val="fr-FR"/>
    </w:rPr>
  </w:style>
  <w:style w:type="paragraph" w:styleId="Footer">
    <w:name w:val="footer"/>
    <w:basedOn w:val="Normal"/>
    <w:pPr>
      <w:tabs>
        <w:tab w:val="center" w:pos="4153"/>
        <w:tab w:val="right" w:pos="8306"/>
      </w:tabs>
    </w:pPr>
    <w:rPr>
      <w:lang w:val="fr-FR"/>
    </w:rPr>
  </w:style>
  <w:style w:type="paragraph" w:styleId="BodyText">
    <w:name w:val="Body Text"/>
    <w:basedOn w:val="Normal"/>
    <w:pPr>
      <w:tabs>
        <w:tab w:val="left" w:pos="567"/>
        <w:tab w:val="left" w:pos="1134"/>
        <w:tab w:val="left" w:pos="1701"/>
        <w:tab w:val="left" w:pos="2268"/>
        <w:tab w:val="left" w:pos="5670"/>
        <w:tab w:val="left" w:pos="6237"/>
      </w:tabs>
      <w:jc w:val="both"/>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
    <w:name w:val="Body Text Indent"/>
    <w:basedOn w:val="Normal"/>
    <w:pPr>
      <w:spacing w:before="120"/>
      <w:ind w:left="1418" w:hanging="1418"/>
      <w:jc w:val="both"/>
    </w:pPr>
  </w:style>
  <w:style w:type="paragraph" w:styleId="BodyTextIndent2">
    <w:name w:val="Body Text Indent 2"/>
    <w:basedOn w:val="Normal"/>
    <w:pPr>
      <w:spacing w:before="120"/>
      <w:ind w:left="1474" w:hanging="1474"/>
      <w:jc w:val="both"/>
    </w:pPr>
  </w:style>
  <w:style w:type="table" w:styleId="TableGrid">
    <w:name w:val="Table Grid"/>
    <w:basedOn w:val="TableNormal"/>
    <w:rsid w:val="00CC2E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F18DF"/>
    <w:rPr>
      <w:rFonts w:ascii="Tahoma" w:hAnsi="Tahoma" w:cs="Tahoma"/>
      <w:sz w:val="16"/>
      <w:szCs w:val="16"/>
    </w:rPr>
  </w:style>
  <w:style w:type="table" w:styleId="TableGrid6">
    <w:name w:val="Table Grid 6"/>
    <w:basedOn w:val="TableNormal"/>
    <w:rsid w:val="009D586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PageNumber">
    <w:name w:val="page number"/>
    <w:basedOn w:val="DefaultParagraphFont"/>
    <w:rsid w:val="004E2BE9"/>
  </w:style>
  <w:style w:type="paragraph" w:customStyle="1" w:styleId="Normlnslovn">
    <w:name w:val="Normální Číslování"/>
    <w:basedOn w:val="Normal"/>
    <w:rsid w:val="00F87038"/>
    <w:pPr>
      <w:numPr>
        <w:numId w:val="1"/>
      </w:numPr>
      <w:tabs>
        <w:tab w:val="left" w:pos="624"/>
      </w:tabs>
      <w:suppressAutoHyphens/>
      <w:spacing w:before="20"/>
    </w:pPr>
    <w:rPr>
      <w:rFonts w:ascii="Times New Roman" w:hAnsi="Times New Roman"/>
      <w:sz w:val="24"/>
      <w:szCs w:val="24"/>
      <w:lang w:val="cs-CZ" w:eastAsia="cs-CZ"/>
    </w:rPr>
  </w:style>
  <w:style w:type="paragraph" w:customStyle="1" w:styleId="CharChar1CharCharChar">
    <w:name w:val="Char Char1 Char Char Char"/>
    <w:basedOn w:val="Normal"/>
    <w:rsid w:val="00A2360D"/>
    <w:pPr>
      <w:spacing w:after="160" w:line="240" w:lineRule="exact"/>
    </w:pPr>
    <w:rPr>
      <w:rFonts w:ascii="Verdana" w:hAnsi="Verdana"/>
      <w:lang w:val="en-US"/>
    </w:rPr>
  </w:style>
  <w:style w:type="paragraph" w:customStyle="1" w:styleId="Text3">
    <w:name w:val="Text 3"/>
    <w:basedOn w:val="Normal"/>
    <w:rsid w:val="00460EDF"/>
    <w:pPr>
      <w:tabs>
        <w:tab w:val="left" w:pos="2302"/>
      </w:tabs>
      <w:spacing w:after="240"/>
      <w:ind w:left="1202"/>
      <w:jc w:val="both"/>
    </w:pPr>
    <w:rPr>
      <w:rFonts w:ascii="Times New Roman" w:hAnsi="Times New Roman"/>
      <w:sz w:val="24"/>
    </w:rPr>
  </w:style>
  <w:style w:type="character" w:styleId="CommentReference">
    <w:name w:val="annotation reference"/>
    <w:semiHidden/>
    <w:rsid w:val="002548C9"/>
    <w:rPr>
      <w:sz w:val="16"/>
      <w:szCs w:val="16"/>
    </w:rPr>
  </w:style>
  <w:style w:type="paragraph" w:styleId="CommentSubject">
    <w:name w:val="annotation subject"/>
    <w:basedOn w:val="CommentText"/>
    <w:next w:val="CommentText"/>
    <w:semiHidden/>
    <w:rsid w:val="002548C9"/>
    <w:pPr>
      <w:spacing w:line="240" w:lineRule="auto"/>
      <w:jc w:val="left"/>
    </w:pPr>
    <w:rPr>
      <w:b/>
      <w:bCs/>
      <w:lang w:val="en-GB"/>
    </w:rPr>
  </w:style>
  <w:style w:type="paragraph" w:styleId="Header">
    <w:name w:val="header"/>
    <w:basedOn w:val="Normal"/>
    <w:rsid w:val="000C2755"/>
    <w:pPr>
      <w:tabs>
        <w:tab w:val="center" w:pos="4153"/>
        <w:tab w:val="right" w:pos="8306"/>
      </w:tabs>
    </w:pPr>
  </w:style>
  <w:style w:type="paragraph" w:styleId="ListParagraph">
    <w:name w:val="List Paragraph"/>
    <w:basedOn w:val="Normal"/>
    <w:uiPriority w:val="34"/>
    <w:qFormat/>
    <w:rsid w:val="007236AE"/>
    <w:pPr>
      <w:ind w:left="720"/>
    </w:pPr>
  </w:style>
  <w:style w:type="paragraph" w:styleId="Revision">
    <w:name w:val="Revision"/>
    <w:hidden/>
    <w:uiPriority w:val="99"/>
    <w:semiHidden/>
    <w:rsid w:val="00104C3F"/>
    <w:rPr>
      <w:rFonts w:ascii="Arial" w:hAnsi="Arial"/>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360D"/>
    <w:rPr>
      <w:rFonts w:ascii="Arial" w:hAnsi="Arial"/>
      <w:lang w:eastAsia="en-US"/>
    </w:rPr>
  </w:style>
  <w:style w:type="paragraph" w:styleId="Heading1">
    <w:name w:val="heading 1"/>
    <w:basedOn w:val="Normal"/>
    <w:next w:val="Normal"/>
    <w:qFormat/>
    <w:pPr>
      <w:keepNext/>
      <w:numPr>
        <w:numId w:val="3"/>
      </w:numPr>
      <w:outlineLvl w:val="0"/>
    </w:pPr>
    <w:rPr>
      <w:b/>
      <w:bCs/>
      <w:lang w:val="fr-FR"/>
    </w:rPr>
  </w:style>
  <w:style w:type="paragraph" w:styleId="Heading2">
    <w:name w:val="heading 2"/>
    <w:basedOn w:val="Normal"/>
    <w:next w:val="Normal"/>
    <w:qFormat/>
    <w:pPr>
      <w:keepNext/>
      <w:numPr>
        <w:ilvl w:val="1"/>
        <w:numId w:val="3"/>
      </w:numPr>
      <w:tabs>
        <w:tab w:val="left" w:pos="1134"/>
        <w:tab w:val="left" w:pos="1701"/>
        <w:tab w:val="left" w:pos="2268"/>
        <w:tab w:val="left" w:pos="5670"/>
        <w:tab w:val="left" w:pos="6237"/>
      </w:tabs>
      <w:jc w:val="both"/>
      <w:outlineLvl w:val="1"/>
    </w:pPr>
    <w:rPr>
      <w:b/>
      <w:bCs/>
    </w:rPr>
  </w:style>
  <w:style w:type="paragraph" w:styleId="Heading3">
    <w:name w:val="heading 3"/>
    <w:basedOn w:val="Normal"/>
    <w:next w:val="Normal"/>
    <w:qFormat/>
    <w:rsid w:val="0086365A"/>
    <w:pPr>
      <w:keepNext/>
      <w:numPr>
        <w:ilvl w:val="2"/>
        <w:numId w:val="3"/>
      </w:numPr>
      <w:spacing w:before="240" w:after="60"/>
      <w:outlineLvl w:val="2"/>
    </w:pPr>
    <w:rPr>
      <w:b/>
      <w:bCs/>
      <w:sz w:val="26"/>
      <w:szCs w:val="26"/>
    </w:rPr>
  </w:style>
  <w:style w:type="paragraph" w:styleId="Heading4">
    <w:name w:val="heading 4"/>
    <w:basedOn w:val="Normal"/>
    <w:next w:val="Normal"/>
    <w:qFormat/>
    <w:rsid w:val="0086365A"/>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rsid w:val="0086365A"/>
    <w:pPr>
      <w:numPr>
        <w:ilvl w:val="4"/>
        <w:numId w:val="3"/>
      </w:numPr>
      <w:spacing w:before="240" w:after="60"/>
      <w:outlineLvl w:val="4"/>
    </w:pPr>
    <w:rPr>
      <w:b/>
      <w:bCs/>
      <w:i/>
      <w:iCs/>
      <w:sz w:val="26"/>
      <w:szCs w:val="26"/>
    </w:rPr>
  </w:style>
  <w:style w:type="paragraph" w:styleId="Heading6">
    <w:name w:val="heading 6"/>
    <w:basedOn w:val="Normal"/>
    <w:next w:val="Normal"/>
    <w:qFormat/>
    <w:rsid w:val="0086365A"/>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86365A"/>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86365A"/>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86365A"/>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pPr>
      <w:spacing w:line="240" w:lineRule="atLeast"/>
      <w:jc w:val="both"/>
    </w:pPr>
    <w:rPr>
      <w:lang w:val="fr-FR"/>
    </w:rPr>
  </w:style>
  <w:style w:type="paragraph" w:styleId="Footer">
    <w:name w:val="footer"/>
    <w:basedOn w:val="Normal"/>
    <w:pPr>
      <w:tabs>
        <w:tab w:val="center" w:pos="4153"/>
        <w:tab w:val="right" w:pos="8306"/>
      </w:tabs>
    </w:pPr>
    <w:rPr>
      <w:lang w:val="fr-FR"/>
    </w:rPr>
  </w:style>
  <w:style w:type="paragraph" w:styleId="BodyText">
    <w:name w:val="Body Text"/>
    <w:basedOn w:val="Normal"/>
    <w:pPr>
      <w:tabs>
        <w:tab w:val="left" w:pos="567"/>
        <w:tab w:val="left" w:pos="1134"/>
        <w:tab w:val="left" w:pos="1701"/>
        <w:tab w:val="left" w:pos="2268"/>
        <w:tab w:val="left" w:pos="5670"/>
        <w:tab w:val="left" w:pos="6237"/>
      </w:tabs>
      <w:jc w:val="both"/>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
    <w:name w:val="Body Text Indent"/>
    <w:basedOn w:val="Normal"/>
    <w:pPr>
      <w:spacing w:before="120"/>
      <w:ind w:left="1418" w:hanging="1418"/>
      <w:jc w:val="both"/>
    </w:pPr>
  </w:style>
  <w:style w:type="paragraph" w:styleId="BodyTextIndent2">
    <w:name w:val="Body Text Indent 2"/>
    <w:basedOn w:val="Normal"/>
    <w:pPr>
      <w:spacing w:before="120"/>
      <w:ind w:left="1474" w:hanging="1474"/>
      <w:jc w:val="both"/>
    </w:pPr>
  </w:style>
  <w:style w:type="table" w:styleId="TableGrid">
    <w:name w:val="Table Grid"/>
    <w:basedOn w:val="TableNormal"/>
    <w:rsid w:val="00CC2E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F18DF"/>
    <w:rPr>
      <w:rFonts w:ascii="Tahoma" w:hAnsi="Tahoma" w:cs="Tahoma"/>
      <w:sz w:val="16"/>
      <w:szCs w:val="16"/>
    </w:rPr>
  </w:style>
  <w:style w:type="table" w:styleId="TableGrid6">
    <w:name w:val="Table Grid 6"/>
    <w:basedOn w:val="TableNormal"/>
    <w:rsid w:val="009D586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PageNumber">
    <w:name w:val="page number"/>
    <w:basedOn w:val="DefaultParagraphFont"/>
    <w:rsid w:val="004E2BE9"/>
  </w:style>
  <w:style w:type="paragraph" w:customStyle="1" w:styleId="Normlnslovn">
    <w:name w:val="Normální Číslování"/>
    <w:basedOn w:val="Normal"/>
    <w:rsid w:val="00F87038"/>
    <w:pPr>
      <w:numPr>
        <w:numId w:val="1"/>
      </w:numPr>
      <w:tabs>
        <w:tab w:val="left" w:pos="624"/>
      </w:tabs>
      <w:suppressAutoHyphens/>
      <w:spacing w:before="20"/>
    </w:pPr>
    <w:rPr>
      <w:rFonts w:ascii="Times New Roman" w:hAnsi="Times New Roman"/>
      <w:sz w:val="24"/>
      <w:szCs w:val="24"/>
      <w:lang w:val="cs-CZ" w:eastAsia="cs-CZ"/>
    </w:rPr>
  </w:style>
  <w:style w:type="paragraph" w:customStyle="1" w:styleId="CharChar1CharCharChar">
    <w:name w:val="Char Char1 Char Char Char"/>
    <w:basedOn w:val="Normal"/>
    <w:rsid w:val="00A2360D"/>
    <w:pPr>
      <w:spacing w:after="160" w:line="240" w:lineRule="exact"/>
    </w:pPr>
    <w:rPr>
      <w:rFonts w:ascii="Verdana" w:hAnsi="Verdana"/>
      <w:lang w:val="en-US"/>
    </w:rPr>
  </w:style>
  <w:style w:type="paragraph" w:customStyle="1" w:styleId="Text3">
    <w:name w:val="Text 3"/>
    <w:basedOn w:val="Normal"/>
    <w:rsid w:val="00460EDF"/>
    <w:pPr>
      <w:tabs>
        <w:tab w:val="left" w:pos="2302"/>
      </w:tabs>
      <w:spacing w:after="240"/>
      <w:ind w:left="1202"/>
      <w:jc w:val="both"/>
    </w:pPr>
    <w:rPr>
      <w:rFonts w:ascii="Times New Roman" w:hAnsi="Times New Roman"/>
      <w:sz w:val="24"/>
    </w:rPr>
  </w:style>
  <w:style w:type="character" w:styleId="CommentReference">
    <w:name w:val="annotation reference"/>
    <w:semiHidden/>
    <w:rsid w:val="002548C9"/>
    <w:rPr>
      <w:sz w:val="16"/>
      <w:szCs w:val="16"/>
    </w:rPr>
  </w:style>
  <w:style w:type="paragraph" w:styleId="CommentSubject">
    <w:name w:val="annotation subject"/>
    <w:basedOn w:val="CommentText"/>
    <w:next w:val="CommentText"/>
    <w:semiHidden/>
    <w:rsid w:val="002548C9"/>
    <w:pPr>
      <w:spacing w:line="240" w:lineRule="auto"/>
      <w:jc w:val="left"/>
    </w:pPr>
    <w:rPr>
      <w:b/>
      <w:bCs/>
      <w:lang w:val="en-GB"/>
    </w:rPr>
  </w:style>
  <w:style w:type="paragraph" w:styleId="Header">
    <w:name w:val="header"/>
    <w:basedOn w:val="Normal"/>
    <w:rsid w:val="000C2755"/>
    <w:pPr>
      <w:tabs>
        <w:tab w:val="center" w:pos="4153"/>
        <w:tab w:val="right" w:pos="8306"/>
      </w:tabs>
    </w:pPr>
  </w:style>
  <w:style w:type="paragraph" w:styleId="ListParagraph">
    <w:name w:val="List Paragraph"/>
    <w:basedOn w:val="Normal"/>
    <w:uiPriority w:val="34"/>
    <w:qFormat/>
    <w:rsid w:val="007236AE"/>
    <w:pPr>
      <w:ind w:left="720"/>
    </w:pPr>
  </w:style>
  <w:style w:type="paragraph" w:styleId="Revision">
    <w:name w:val="Revision"/>
    <w:hidden/>
    <w:uiPriority w:val="99"/>
    <w:semiHidden/>
    <w:rsid w:val="00104C3F"/>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86469">
      <w:bodyDiv w:val="1"/>
      <w:marLeft w:val="0"/>
      <w:marRight w:val="0"/>
      <w:marTop w:val="0"/>
      <w:marBottom w:val="0"/>
      <w:divBdr>
        <w:top w:val="none" w:sz="0" w:space="0" w:color="auto"/>
        <w:left w:val="none" w:sz="0" w:space="0" w:color="auto"/>
        <w:bottom w:val="none" w:sz="0" w:space="0" w:color="auto"/>
        <w:right w:val="none" w:sz="0" w:space="0" w:color="auto"/>
      </w:divBdr>
    </w:div>
    <w:div w:id="154299807">
      <w:bodyDiv w:val="1"/>
      <w:marLeft w:val="0"/>
      <w:marRight w:val="0"/>
      <w:marTop w:val="0"/>
      <w:marBottom w:val="0"/>
      <w:divBdr>
        <w:top w:val="none" w:sz="0" w:space="0" w:color="auto"/>
        <w:left w:val="none" w:sz="0" w:space="0" w:color="auto"/>
        <w:bottom w:val="none" w:sz="0" w:space="0" w:color="auto"/>
        <w:right w:val="none" w:sz="0" w:space="0" w:color="auto"/>
      </w:divBdr>
    </w:div>
    <w:div w:id="156769661">
      <w:bodyDiv w:val="1"/>
      <w:marLeft w:val="0"/>
      <w:marRight w:val="0"/>
      <w:marTop w:val="0"/>
      <w:marBottom w:val="0"/>
      <w:divBdr>
        <w:top w:val="none" w:sz="0" w:space="0" w:color="auto"/>
        <w:left w:val="none" w:sz="0" w:space="0" w:color="auto"/>
        <w:bottom w:val="none" w:sz="0" w:space="0" w:color="auto"/>
        <w:right w:val="none" w:sz="0" w:space="0" w:color="auto"/>
      </w:divBdr>
      <w:divsChild>
        <w:div w:id="260063800">
          <w:marLeft w:val="0"/>
          <w:marRight w:val="0"/>
          <w:marTop w:val="0"/>
          <w:marBottom w:val="0"/>
          <w:divBdr>
            <w:top w:val="none" w:sz="0" w:space="0" w:color="auto"/>
            <w:left w:val="none" w:sz="0" w:space="0" w:color="auto"/>
            <w:bottom w:val="none" w:sz="0" w:space="0" w:color="auto"/>
            <w:right w:val="none" w:sz="0" w:space="0" w:color="auto"/>
          </w:divBdr>
        </w:div>
        <w:div w:id="1550650191">
          <w:marLeft w:val="0"/>
          <w:marRight w:val="0"/>
          <w:marTop w:val="0"/>
          <w:marBottom w:val="0"/>
          <w:divBdr>
            <w:top w:val="none" w:sz="0" w:space="0" w:color="auto"/>
            <w:left w:val="none" w:sz="0" w:space="0" w:color="auto"/>
            <w:bottom w:val="none" w:sz="0" w:space="0" w:color="auto"/>
            <w:right w:val="none" w:sz="0" w:space="0" w:color="auto"/>
          </w:divBdr>
        </w:div>
        <w:div w:id="1999066428">
          <w:marLeft w:val="0"/>
          <w:marRight w:val="0"/>
          <w:marTop w:val="0"/>
          <w:marBottom w:val="0"/>
          <w:divBdr>
            <w:top w:val="none" w:sz="0" w:space="0" w:color="auto"/>
            <w:left w:val="none" w:sz="0" w:space="0" w:color="auto"/>
            <w:bottom w:val="none" w:sz="0" w:space="0" w:color="auto"/>
            <w:right w:val="none" w:sz="0" w:space="0" w:color="auto"/>
          </w:divBdr>
          <w:divsChild>
            <w:div w:id="581717898">
              <w:marLeft w:val="0"/>
              <w:marRight w:val="0"/>
              <w:marTop w:val="0"/>
              <w:marBottom w:val="0"/>
              <w:divBdr>
                <w:top w:val="none" w:sz="0" w:space="0" w:color="auto"/>
                <w:left w:val="none" w:sz="0" w:space="0" w:color="auto"/>
                <w:bottom w:val="none" w:sz="0" w:space="0" w:color="auto"/>
                <w:right w:val="none" w:sz="0" w:space="0" w:color="auto"/>
              </w:divBdr>
              <w:divsChild>
                <w:div w:id="1064333539">
                  <w:marLeft w:val="0"/>
                  <w:marRight w:val="0"/>
                  <w:marTop w:val="0"/>
                  <w:marBottom w:val="0"/>
                  <w:divBdr>
                    <w:top w:val="none" w:sz="0" w:space="0" w:color="auto"/>
                    <w:left w:val="none" w:sz="0" w:space="0" w:color="auto"/>
                    <w:bottom w:val="none" w:sz="0" w:space="0" w:color="auto"/>
                    <w:right w:val="none" w:sz="0" w:space="0" w:color="auto"/>
                  </w:divBdr>
                </w:div>
              </w:divsChild>
            </w:div>
            <w:div w:id="915169755">
              <w:marLeft w:val="0"/>
              <w:marRight w:val="0"/>
              <w:marTop w:val="0"/>
              <w:marBottom w:val="0"/>
              <w:divBdr>
                <w:top w:val="none" w:sz="0" w:space="0" w:color="auto"/>
                <w:left w:val="none" w:sz="0" w:space="0" w:color="auto"/>
                <w:bottom w:val="none" w:sz="0" w:space="0" w:color="auto"/>
                <w:right w:val="none" w:sz="0" w:space="0" w:color="auto"/>
              </w:divBdr>
            </w:div>
            <w:div w:id="989361330">
              <w:marLeft w:val="0"/>
              <w:marRight w:val="0"/>
              <w:marTop w:val="0"/>
              <w:marBottom w:val="0"/>
              <w:divBdr>
                <w:top w:val="none" w:sz="0" w:space="0" w:color="auto"/>
                <w:left w:val="none" w:sz="0" w:space="0" w:color="auto"/>
                <w:bottom w:val="none" w:sz="0" w:space="0" w:color="auto"/>
                <w:right w:val="none" w:sz="0" w:space="0" w:color="auto"/>
              </w:divBdr>
            </w:div>
            <w:div w:id="1247230411">
              <w:marLeft w:val="0"/>
              <w:marRight w:val="0"/>
              <w:marTop w:val="0"/>
              <w:marBottom w:val="0"/>
              <w:divBdr>
                <w:top w:val="none" w:sz="0" w:space="0" w:color="auto"/>
                <w:left w:val="none" w:sz="0" w:space="0" w:color="auto"/>
                <w:bottom w:val="none" w:sz="0" w:space="0" w:color="auto"/>
                <w:right w:val="none" w:sz="0" w:space="0" w:color="auto"/>
              </w:divBdr>
            </w:div>
            <w:div w:id="1321618693">
              <w:marLeft w:val="0"/>
              <w:marRight w:val="0"/>
              <w:marTop w:val="0"/>
              <w:marBottom w:val="0"/>
              <w:divBdr>
                <w:top w:val="none" w:sz="0" w:space="0" w:color="auto"/>
                <w:left w:val="none" w:sz="0" w:space="0" w:color="auto"/>
                <w:bottom w:val="none" w:sz="0" w:space="0" w:color="auto"/>
                <w:right w:val="none" w:sz="0" w:space="0" w:color="auto"/>
              </w:divBdr>
            </w:div>
            <w:div w:id="1670062025">
              <w:marLeft w:val="0"/>
              <w:marRight w:val="0"/>
              <w:marTop w:val="0"/>
              <w:marBottom w:val="0"/>
              <w:divBdr>
                <w:top w:val="none" w:sz="0" w:space="0" w:color="auto"/>
                <w:left w:val="none" w:sz="0" w:space="0" w:color="auto"/>
                <w:bottom w:val="none" w:sz="0" w:space="0" w:color="auto"/>
                <w:right w:val="none" w:sz="0" w:space="0" w:color="auto"/>
              </w:divBdr>
            </w:div>
            <w:div w:id="1852790118">
              <w:marLeft w:val="0"/>
              <w:marRight w:val="0"/>
              <w:marTop w:val="0"/>
              <w:marBottom w:val="0"/>
              <w:divBdr>
                <w:top w:val="none" w:sz="0" w:space="0" w:color="auto"/>
                <w:left w:val="none" w:sz="0" w:space="0" w:color="auto"/>
                <w:bottom w:val="none" w:sz="0" w:space="0" w:color="auto"/>
                <w:right w:val="none" w:sz="0" w:space="0" w:color="auto"/>
              </w:divBdr>
            </w:div>
            <w:div w:id="20930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1167">
      <w:bodyDiv w:val="1"/>
      <w:marLeft w:val="0"/>
      <w:marRight w:val="0"/>
      <w:marTop w:val="0"/>
      <w:marBottom w:val="0"/>
      <w:divBdr>
        <w:top w:val="none" w:sz="0" w:space="0" w:color="auto"/>
        <w:left w:val="none" w:sz="0" w:space="0" w:color="auto"/>
        <w:bottom w:val="none" w:sz="0" w:space="0" w:color="auto"/>
        <w:right w:val="none" w:sz="0" w:space="0" w:color="auto"/>
      </w:divBdr>
    </w:div>
    <w:div w:id="359090404">
      <w:bodyDiv w:val="1"/>
      <w:marLeft w:val="0"/>
      <w:marRight w:val="0"/>
      <w:marTop w:val="0"/>
      <w:marBottom w:val="0"/>
      <w:divBdr>
        <w:top w:val="none" w:sz="0" w:space="0" w:color="auto"/>
        <w:left w:val="none" w:sz="0" w:space="0" w:color="auto"/>
        <w:bottom w:val="none" w:sz="0" w:space="0" w:color="auto"/>
        <w:right w:val="none" w:sz="0" w:space="0" w:color="auto"/>
      </w:divBdr>
    </w:div>
    <w:div w:id="420299994">
      <w:bodyDiv w:val="1"/>
      <w:marLeft w:val="0"/>
      <w:marRight w:val="0"/>
      <w:marTop w:val="0"/>
      <w:marBottom w:val="0"/>
      <w:divBdr>
        <w:top w:val="none" w:sz="0" w:space="0" w:color="auto"/>
        <w:left w:val="none" w:sz="0" w:space="0" w:color="auto"/>
        <w:bottom w:val="none" w:sz="0" w:space="0" w:color="auto"/>
        <w:right w:val="none" w:sz="0" w:space="0" w:color="auto"/>
      </w:divBdr>
      <w:divsChild>
        <w:div w:id="2098863875">
          <w:marLeft w:val="0"/>
          <w:marRight w:val="0"/>
          <w:marTop w:val="0"/>
          <w:marBottom w:val="0"/>
          <w:divBdr>
            <w:top w:val="none" w:sz="0" w:space="0" w:color="auto"/>
            <w:left w:val="none" w:sz="0" w:space="0" w:color="auto"/>
            <w:bottom w:val="none" w:sz="0" w:space="0" w:color="auto"/>
            <w:right w:val="none" w:sz="0" w:space="0" w:color="auto"/>
          </w:divBdr>
        </w:div>
      </w:divsChild>
    </w:div>
    <w:div w:id="434524011">
      <w:bodyDiv w:val="1"/>
      <w:marLeft w:val="0"/>
      <w:marRight w:val="0"/>
      <w:marTop w:val="0"/>
      <w:marBottom w:val="0"/>
      <w:divBdr>
        <w:top w:val="none" w:sz="0" w:space="0" w:color="auto"/>
        <w:left w:val="none" w:sz="0" w:space="0" w:color="auto"/>
        <w:bottom w:val="none" w:sz="0" w:space="0" w:color="auto"/>
        <w:right w:val="none" w:sz="0" w:space="0" w:color="auto"/>
      </w:divBdr>
      <w:divsChild>
        <w:div w:id="82187815">
          <w:marLeft w:val="0"/>
          <w:marRight w:val="0"/>
          <w:marTop w:val="0"/>
          <w:marBottom w:val="0"/>
          <w:divBdr>
            <w:top w:val="none" w:sz="0" w:space="0" w:color="auto"/>
            <w:left w:val="none" w:sz="0" w:space="0" w:color="auto"/>
            <w:bottom w:val="none" w:sz="0" w:space="0" w:color="auto"/>
            <w:right w:val="none" w:sz="0" w:space="0" w:color="auto"/>
          </w:divBdr>
        </w:div>
        <w:div w:id="131757905">
          <w:marLeft w:val="0"/>
          <w:marRight w:val="0"/>
          <w:marTop w:val="0"/>
          <w:marBottom w:val="0"/>
          <w:divBdr>
            <w:top w:val="none" w:sz="0" w:space="0" w:color="auto"/>
            <w:left w:val="none" w:sz="0" w:space="0" w:color="auto"/>
            <w:bottom w:val="none" w:sz="0" w:space="0" w:color="auto"/>
            <w:right w:val="none" w:sz="0" w:space="0" w:color="auto"/>
          </w:divBdr>
        </w:div>
        <w:div w:id="202014626">
          <w:marLeft w:val="0"/>
          <w:marRight w:val="0"/>
          <w:marTop w:val="0"/>
          <w:marBottom w:val="0"/>
          <w:divBdr>
            <w:top w:val="none" w:sz="0" w:space="0" w:color="auto"/>
            <w:left w:val="none" w:sz="0" w:space="0" w:color="auto"/>
            <w:bottom w:val="none" w:sz="0" w:space="0" w:color="auto"/>
            <w:right w:val="none" w:sz="0" w:space="0" w:color="auto"/>
          </w:divBdr>
        </w:div>
        <w:div w:id="233588044">
          <w:marLeft w:val="0"/>
          <w:marRight w:val="0"/>
          <w:marTop w:val="0"/>
          <w:marBottom w:val="0"/>
          <w:divBdr>
            <w:top w:val="none" w:sz="0" w:space="0" w:color="auto"/>
            <w:left w:val="none" w:sz="0" w:space="0" w:color="auto"/>
            <w:bottom w:val="none" w:sz="0" w:space="0" w:color="auto"/>
            <w:right w:val="none" w:sz="0" w:space="0" w:color="auto"/>
          </w:divBdr>
        </w:div>
        <w:div w:id="318273295">
          <w:marLeft w:val="0"/>
          <w:marRight w:val="0"/>
          <w:marTop w:val="0"/>
          <w:marBottom w:val="0"/>
          <w:divBdr>
            <w:top w:val="none" w:sz="0" w:space="0" w:color="auto"/>
            <w:left w:val="none" w:sz="0" w:space="0" w:color="auto"/>
            <w:bottom w:val="none" w:sz="0" w:space="0" w:color="auto"/>
            <w:right w:val="none" w:sz="0" w:space="0" w:color="auto"/>
          </w:divBdr>
        </w:div>
        <w:div w:id="454298691">
          <w:marLeft w:val="0"/>
          <w:marRight w:val="0"/>
          <w:marTop w:val="0"/>
          <w:marBottom w:val="0"/>
          <w:divBdr>
            <w:top w:val="none" w:sz="0" w:space="0" w:color="auto"/>
            <w:left w:val="none" w:sz="0" w:space="0" w:color="auto"/>
            <w:bottom w:val="none" w:sz="0" w:space="0" w:color="auto"/>
            <w:right w:val="none" w:sz="0" w:space="0" w:color="auto"/>
          </w:divBdr>
        </w:div>
        <w:div w:id="503517513">
          <w:marLeft w:val="0"/>
          <w:marRight w:val="0"/>
          <w:marTop w:val="0"/>
          <w:marBottom w:val="0"/>
          <w:divBdr>
            <w:top w:val="none" w:sz="0" w:space="0" w:color="auto"/>
            <w:left w:val="none" w:sz="0" w:space="0" w:color="auto"/>
            <w:bottom w:val="none" w:sz="0" w:space="0" w:color="auto"/>
            <w:right w:val="none" w:sz="0" w:space="0" w:color="auto"/>
          </w:divBdr>
        </w:div>
        <w:div w:id="584151480">
          <w:marLeft w:val="0"/>
          <w:marRight w:val="0"/>
          <w:marTop w:val="0"/>
          <w:marBottom w:val="0"/>
          <w:divBdr>
            <w:top w:val="none" w:sz="0" w:space="0" w:color="auto"/>
            <w:left w:val="none" w:sz="0" w:space="0" w:color="auto"/>
            <w:bottom w:val="none" w:sz="0" w:space="0" w:color="auto"/>
            <w:right w:val="none" w:sz="0" w:space="0" w:color="auto"/>
          </w:divBdr>
        </w:div>
        <w:div w:id="777141822">
          <w:marLeft w:val="0"/>
          <w:marRight w:val="0"/>
          <w:marTop w:val="0"/>
          <w:marBottom w:val="0"/>
          <w:divBdr>
            <w:top w:val="none" w:sz="0" w:space="0" w:color="auto"/>
            <w:left w:val="none" w:sz="0" w:space="0" w:color="auto"/>
            <w:bottom w:val="none" w:sz="0" w:space="0" w:color="auto"/>
            <w:right w:val="none" w:sz="0" w:space="0" w:color="auto"/>
          </w:divBdr>
        </w:div>
        <w:div w:id="1016687349">
          <w:marLeft w:val="0"/>
          <w:marRight w:val="0"/>
          <w:marTop w:val="0"/>
          <w:marBottom w:val="0"/>
          <w:divBdr>
            <w:top w:val="none" w:sz="0" w:space="0" w:color="auto"/>
            <w:left w:val="none" w:sz="0" w:space="0" w:color="auto"/>
            <w:bottom w:val="none" w:sz="0" w:space="0" w:color="auto"/>
            <w:right w:val="none" w:sz="0" w:space="0" w:color="auto"/>
          </w:divBdr>
        </w:div>
        <w:div w:id="1184857642">
          <w:marLeft w:val="0"/>
          <w:marRight w:val="0"/>
          <w:marTop w:val="0"/>
          <w:marBottom w:val="0"/>
          <w:divBdr>
            <w:top w:val="none" w:sz="0" w:space="0" w:color="auto"/>
            <w:left w:val="none" w:sz="0" w:space="0" w:color="auto"/>
            <w:bottom w:val="none" w:sz="0" w:space="0" w:color="auto"/>
            <w:right w:val="none" w:sz="0" w:space="0" w:color="auto"/>
          </w:divBdr>
        </w:div>
        <w:div w:id="1463577037">
          <w:marLeft w:val="0"/>
          <w:marRight w:val="0"/>
          <w:marTop w:val="0"/>
          <w:marBottom w:val="0"/>
          <w:divBdr>
            <w:top w:val="none" w:sz="0" w:space="0" w:color="auto"/>
            <w:left w:val="none" w:sz="0" w:space="0" w:color="auto"/>
            <w:bottom w:val="none" w:sz="0" w:space="0" w:color="auto"/>
            <w:right w:val="none" w:sz="0" w:space="0" w:color="auto"/>
          </w:divBdr>
        </w:div>
        <w:div w:id="1720864110">
          <w:marLeft w:val="0"/>
          <w:marRight w:val="0"/>
          <w:marTop w:val="0"/>
          <w:marBottom w:val="0"/>
          <w:divBdr>
            <w:top w:val="none" w:sz="0" w:space="0" w:color="auto"/>
            <w:left w:val="none" w:sz="0" w:space="0" w:color="auto"/>
            <w:bottom w:val="none" w:sz="0" w:space="0" w:color="auto"/>
            <w:right w:val="none" w:sz="0" w:space="0" w:color="auto"/>
          </w:divBdr>
        </w:div>
        <w:div w:id="1905673458">
          <w:marLeft w:val="0"/>
          <w:marRight w:val="0"/>
          <w:marTop w:val="0"/>
          <w:marBottom w:val="0"/>
          <w:divBdr>
            <w:top w:val="none" w:sz="0" w:space="0" w:color="auto"/>
            <w:left w:val="none" w:sz="0" w:space="0" w:color="auto"/>
            <w:bottom w:val="none" w:sz="0" w:space="0" w:color="auto"/>
            <w:right w:val="none" w:sz="0" w:space="0" w:color="auto"/>
          </w:divBdr>
        </w:div>
        <w:div w:id="1926062317">
          <w:marLeft w:val="0"/>
          <w:marRight w:val="0"/>
          <w:marTop w:val="0"/>
          <w:marBottom w:val="0"/>
          <w:divBdr>
            <w:top w:val="none" w:sz="0" w:space="0" w:color="auto"/>
            <w:left w:val="none" w:sz="0" w:space="0" w:color="auto"/>
            <w:bottom w:val="none" w:sz="0" w:space="0" w:color="auto"/>
            <w:right w:val="none" w:sz="0" w:space="0" w:color="auto"/>
          </w:divBdr>
        </w:div>
      </w:divsChild>
    </w:div>
    <w:div w:id="578246822">
      <w:bodyDiv w:val="1"/>
      <w:marLeft w:val="0"/>
      <w:marRight w:val="0"/>
      <w:marTop w:val="0"/>
      <w:marBottom w:val="0"/>
      <w:divBdr>
        <w:top w:val="none" w:sz="0" w:space="0" w:color="auto"/>
        <w:left w:val="none" w:sz="0" w:space="0" w:color="auto"/>
        <w:bottom w:val="none" w:sz="0" w:space="0" w:color="auto"/>
        <w:right w:val="none" w:sz="0" w:space="0" w:color="auto"/>
      </w:divBdr>
      <w:divsChild>
        <w:div w:id="6105019">
          <w:marLeft w:val="0"/>
          <w:marRight w:val="0"/>
          <w:marTop w:val="0"/>
          <w:marBottom w:val="0"/>
          <w:divBdr>
            <w:top w:val="none" w:sz="0" w:space="0" w:color="auto"/>
            <w:left w:val="none" w:sz="0" w:space="0" w:color="auto"/>
            <w:bottom w:val="none" w:sz="0" w:space="0" w:color="auto"/>
            <w:right w:val="none" w:sz="0" w:space="0" w:color="auto"/>
          </w:divBdr>
        </w:div>
        <w:div w:id="423578135">
          <w:marLeft w:val="0"/>
          <w:marRight w:val="0"/>
          <w:marTop w:val="0"/>
          <w:marBottom w:val="0"/>
          <w:divBdr>
            <w:top w:val="none" w:sz="0" w:space="0" w:color="auto"/>
            <w:left w:val="none" w:sz="0" w:space="0" w:color="auto"/>
            <w:bottom w:val="none" w:sz="0" w:space="0" w:color="auto"/>
            <w:right w:val="none" w:sz="0" w:space="0" w:color="auto"/>
          </w:divBdr>
        </w:div>
        <w:div w:id="859004956">
          <w:marLeft w:val="0"/>
          <w:marRight w:val="0"/>
          <w:marTop w:val="0"/>
          <w:marBottom w:val="0"/>
          <w:divBdr>
            <w:top w:val="none" w:sz="0" w:space="0" w:color="auto"/>
            <w:left w:val="none" w:sz="0" w:space="0" w:color="auto"/>
            <w:bottom w:val="none" w:sz="0" w:space="0" w:color="auto"/>
            <w:right w:val="none" w:sz="0" w:space="0" w:color="auto"/>
          </w:divBdr>
        </w:div>
        <w:div w:id="894242077">
          <w:marLeft w:val="0"/>
          <w:marRight w:val="0"/>
          <w:marTop w:val="0"/>
          <w:marBottom w:val="0"/>
          <w:divBdr>
            <w:top w:val="none" w:sz="0" w:space="0" w:color="auto"/>
            <w:left w:val="none" w:sz="0" w:space="0" w:color="auto"/>
            <w:bottom w:val="none" w:sz="0" w:space="0" w:color="auto"/>
            <w:right w:val="none" w:sz="0" w:space="0" w:color="auto"/>
          </w:divBdr>
        </w:div>
        <w:div w:id="1813794132">
          <w:marLeft w:val="0"/>
          <w:marRight w:val="0"/>
          <w:marTop w:val="0"/>
          <w:marBottom w:val="0"/>
          <w:divBdr>
            <w:top w:val="none" w:sz="0" w:space="0" w:color="auto"/>
            <w:left w:val="none" w:sz="0" w:space="0" w:color="auto"/>
            <w:bottom w:val="none" w:sz="0" w:space="0" w:color="auto"/>
            <w:right w:val="none" w:sz="0" w:space="0" w:color="auto"/>
          </w:divBdr>
        </w:div>
      </w:divsChild>
    </w:div>
    <w:div w:id="579295069">
      <w:bodyDiv w:val="1"/>
      <w:marLeft w:val="0"/>
      <w:marRight w:val="0"/>
      <w:marTop w:val="0"/>
      <w:marBottom w:val="0"/>
      <w:divBdr>
        <w:top w:val="none" w:sz="0" w:space="0" w:color="auto"/>
        <w:left w:val="none" w:sz="0" w:space="0" w:color="auto"/>
        <w:bottom w:val="none" w:sz="0" w:space="0" w:color="auto"/>
        <w:right w:val="none" w:sz="0" w:space="0" w:color="auto"/>
      </w:divBdr>
      <w:divsChild>
        <w:div w:id="911156684">
          <w:marLeft w:val="0"/>
          <w:marRight w:val="0"/>
          <w:marTop w:val="0"/>
          <w:marBottom w:val="0"/>
          <w:divBdr>
            <w:top w:val="none" w:sz="0" w:space="0" w:color="auto"/>
            <w:left w:val="none" w:sz="0" w:space="0" w:color="auto"/>
            <w:bottom w:val="none" w:sz="0" w:space="0" w:color="auto"/>
            <w:right w:val="none" w:sz="0" w:space="0" w:color="auto"/>
          </w:divBdr>
        </w:div>
      </w:divsChild>
    </w:div>
    <w:div w:id="681787331">
      <w:bodyDiv w:val="1"/>
      <w:marLeft w:val="0"/>
      <w:marRight w:val="0"/>
      <w:marTop w:val="0"/>
      <w:marBottom w:val="0"/>
      <w:divBdr>
        <w:top w:val="none" w:sz="0" w:space="0" w:color="auto"/>
        <w:left w:val="none" w:sz="0" w:space="0" w:color="auto"/>
        <w:bottom w:val="none" w:sz="0" w:space="0" w:color="auto"/>
        <w:right w:val="none" w:sz="0" w:space="0" w:color="auto"/>
      </w:divBdr>
    </w:div>
    <w:div w:id="819620142">
      <w:bodyDiv w:val="1"/>
      <w:marLeft w:val="0"/>
      <w:marRight w:val="0"/>
      <w:marTop w:val="0"/>
      <w:marBottom w:val="0"/>
      <w:divBdr>
        <w:top w:val="none" w:sz="0" w:space="0" w:color="auto"/>
        <w:left w:val="none" w:sz="0" w:space="0" w:color="auto"/>
        <w:bottom w:val="none" w:sz="0" w:space="0" w:color="auto"/>
        <w:right w:val="none" w:sz="0" w:space="0" w:color="auto"/>
      </w:divBdr>
    </w:div>
    <w:div w:id="1030255080">
      <w:bodyDiv w:val="1"/>
      <w:marLeft w:val="0"/>
      <w:marRight w:val="0"/>
      <w:marTop w:val="0"/>
      <w:marBottom w:val="0"/>
      <w:divBdr>
        <w:top w:val="none" w:sz="0" w:space="0" w:color="auto"/>
        <w:left w:val="none" w:sz="0" w:space="0" w:color="auto"/>
        <w:bottom w:val="none" w:sz="0" w:space="0" w:color="auto"/>
        <w:right w:val="none" w:sz="0" w:space="0" w:color="auto"/>
      </w:divBdr>
      <w:divsChild>
        <w:div w:id="70542204">
          <w:marLeft w:val="0"/>
          <w:marRight w:val="0"/>
          <w:marTop w:val="0"/>
          <w:marBottom w:val="0"/>
          <w:divBdr>
            <w:top w:val="none" w:sz="0" w:space="0" w:color="auto"/>
            <w:left w:val="none" w:sz="0" w:space="0" w:color="auto"/>
            <w:bottom w:val="none" w:sz="0" w:space="0" w:color="auto"/>
            <w:right w:val="none" w:sz="0" w:space="0" w:color="auto"/>
          </w:divBdr>
          <w:divsChild>
            <w:div w:id="2027367637">
              <w:marLeft w:val="0"/>
              <w:marRight w:val="0"/>
              <w:marTop w:val="0"/>
              <w:marBottom w:val="0"/>
              <w:divBdr>
                <w:top w:val="none" w:sz="0" w:space="0" w:color="auto"/>
                <w:left w:val="none" w:sz="0" w:space="0" w:color="auto"/>
                <w:bottom w:val="none" w:sz="0" w:space="0" w:color="auto"/>
                <w:right w:val="none" w:sz="0" w:space="0" w:color="auto"/>
              </w:divBdr>
            </w:div>
            <w:div w:id="20672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2149">
      <w:bodyDiv w:val="1"/>
      <w:marLeft w:val="0"/>
      <w:marRight w:val="0"/>
      <w:marTop w:val="0"/>
      <w:marBottom w:val="0"/>
      <w:divBdr>
        <w:top w:val="none" w:sz="0" w:space="0" w:color="auto"/>
        <w:left w:val="none" w:sz="0" w:space="0" w:color="auto"/>
        <w:bottom w:val="none" w:sz="0" w:space="0" w:color="auto"/>
        <w:right w:val="none" w:sz="0" w:space="0" w:color="auto"/>
      </w:divBdr>
    </w:div>
    <w:div w:id="1527327056">
      <w:bodyDiv w:val="1"/>
      <w:marLeft w:val="0"/>
      <w:marRight w:val="0"/>
      <w:marTop w:val="0"/>
      <w:marBottom w:val="0"/>
      <w:divBdr>
        <w:top w:val="none" w:sz="0" w:space="0" w:color="auto"/>
        <w:left w:val="none" w:sz="0" w:space="0" w:color="auto"/>
        <w:bottom w:val="none" w:sz="0" w:space="0" w:color="auto"/>
        <w:right w:val="none" w:sz="0" w:space="0" w:color="auto"/>
      </w:divBdr>
      <w:divsChild>
        <w:div w:id="2072002964">
          <w:marLeft w:val="0"/>
          <w:marRight w:val="0"/>
          <w:marTop w:val="0"/>
          <w:marBottom w:val="0"/>
          <w:divBdr>
            <w:top w:val="none" w:sz="0" w:space="0" w:color="auto"/>
            <w:left w:val="none" w:sz="0" w:space="0" w:color="auto"/>
            <w:bottom w:val="none" w:sz="0" w:space="0" w:color="auto"/>
            <w:right w:val="none" w:sz="0" w:space="0" w:color="auto"/>
          </w:divBdr>
        </w:div>
      </w:divsChild>
    </w:div>
    <w:div w:id="1555584091">
      <w:bodyDiv w:val="1"/>
      <w:marLeft w:val="0"/>
      <w:marRight w:val="0"/>
      <w:marTop w:val="0"/>
      <w:marBottom w:val="0"/>
      <w:divBdr>
        <w:top w:val="none" w:sz="0" w:space="0" w:color="auto"/>
        <w:left w:val="none" w:sz="0" w:space="0" w:color="auto"/>
        <w:bottom w:val="none" w:sz="0" w:space="0" w:color="auto"/>
        <w:right w:val="none" w:sz="0" w:space="0" w:color="auto"/>
      </w:divBdr>
    </w:div>
    <w:div w:id="1693219106">
      <w:bodyDiv w:val="1"/>
      <w:marLeft w:val="0"/>
      <w:marRight w:val="0"/>
      <w:marTop w:val="0"/>
      <w:marBottom w:val="0"/>
      <w:divBdr>
        <w:top w:val="none" w:sz="0" w:space="0" w:color="auto"/>
        <w:left w:val="none" w:sz="0" w:space="0" w:color="auto"/>
        <w:bottom w:val="none" w:sz="0" w:space="0" w:color="auto"/>
        <w:right w:val="none" w:sz="0" w:space="0" w:color="auto"/>
      </w:divBdr>
    </w:div>
    <w:div w:id="1714649089">
      <w:bodyDiv w:val="1"/>
      <w:marLeft w:val="0"/>
      <w:marRight w:val="0"/>
      <w:marTop w:val="0"/>
      <w:marBottom w:val="0"/>
      <w:divBdr>
        <w:top w:val="none" w:sz="0" w:space="0" w:color="auto"/>
        <w:left w:val="none" w:sz="0" w:space="0" w:color="auto"/>
        <w:bottom w:val="none" w:sz="0" w:space="0" w:color="auto"/>
        <w:right w:val="none" w:sz="0" w:space="0" w:color="auto"/>
      </w:divBdr>
    </w:div>
    <w:div w:id="1936479886">
      <w:bodyDiv w:val="1"/>
      <w:marLeft w:val="0"/>
      <w:marRight w:val="0"/>
      <w:marTop w:val="0"/>
      <w:marBottom w:val="0"/>
      <w:divBdr>
        <w:top w:val="none" w:sz="0" w:space="0" w:color="auto"/>
        <w:left w:val="none" w:sz="0" w:space="0" w:color="auto"/>
        <w:bottom w:val="none" w:sz="0" w:space="0" w:color="auto"/>
        <w:right w:val="none" w:sz="0" w:space="0" w:color="auto"/>
      </w:divBdr>
      <w:divsChild>
        <w:div w:id="1272277186">
          <w:marLeft w:val="0"/>
          <w:marRight w:val="0"/>
          <w:marTop w:val="0"/>
          <w:marBottom w:val="0"/>
          <w:divBdr>
            <w:top w:val="none" w:sz="0" w:space="0" w:color="auto"/>
            <w:left w:val="none" w:sz="0" w:space="0" w:color="auto"/>
            <w:bottom w:val="none" w:sz="0" w:space="0" w:color="auto"/>
            <w:right w:val="none" w:sz="0" w:space="0" w:color="auto"/>
          </w:divBdr>
          <w:divsChild>
            <w:div w:id="265188098">
              <w:marLeft w:val="0"/>
              <w:marRight w:val="0"/>
              <w:marTop w:val="0"/>
              <w:marBottom w:val="0"/>
              <w:divBdr>
                <w:top w:val="none" w:sz="0" w:space="0" w:color="auto"/>
                <w:left w:val="none" w:sz="0" w:space="0" w:color="auto"/>
                <w:bottom w:val="none" w:sz="0" w:space="0" w:color="auto"/>
                <w:right w:val="none" w:sz="0" w:space="0" w:color="auto"/>
              </w:divBdr>
            </w:div>
            <w:div w:id="14561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87972">
      <w:bodyDiv w:val="1"/>
      <w:marLeft w:val="0"/>
      <w:marRight w:val="0"/>
      <w:marTop w:val="0"/>
      <w:marBottom w:val="0"/>
      <w:divBdr>
        <w:top w:val="none" w:sz="0" w:space="0" w:color="auto"/>
        <w:left w:val="none" w:sz="0" w:space="0" w:color="auto"/>
        <w:bottom w:val="none" w:sz="0" w:space="0" w:color="auto"/>
        <w:right w:val="none" w:sz="0" w:space="0" w:color="auto"/>
      </w:divBdr>
    </w:div>
    <w:div w:id="2110811268">
      <w:bodyDiv w:val="1"/>
      <w:marLeft w:val="0"/>
      <w:marRight w:val="0"/>
      <w:marTop w:val="0"/>
      <w:marBottom w:val="0"/>
      <w:divBdr>
        <w:top w:val="none" w:sz="0" w:space="0" w:color="auto"/>
        <w:left w:val="none" w:sz="0" w:space="0" w:color="auto"/>
        <w:bottom w:val="none" w:sz="0" w:space="0" w:color="auto"/>
        <w:right w:val="none" w:sz="0" w:space="0" w:color="auto"/>
      </w:divBdr>
      <w:divsChild>
        <w:div w:id="1001394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2C4FD-53CE-418C-A0DA-2F2417F8A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3163</Words>
  <Characters>18033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European Investment Bank</Company>
  <LinksUpToDate>false</LinksUpToDate>
  <CharactersWithSpaces>21154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JEZEQUEL</dc:creator>
  <cp:lastModifiedBy>TAGG David</cp:lastModifiedBy>
  <cp:revision>2</cp:revision>
  <cp:lastPrinted>2015-02-23T15:54:00Z</cp:lastPrinted>
  <dcterms:created xsi:type="dcterms:W3CDTF">2015-02-23T16:05:00Z</dcterms:created>
  <dcterms:modified xsi:type="dcterms:W3CDTF">2015-02-23T16:05:00Z</dcterms:modified>
</cp:coreProperties>
</file>