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spacing w:lineRule="auto" w:line="312"/>
        <w:rPr>
          <w:rFonts w:cs="Times New Roman" w:ascii="TakaoPGothic" w:hAnsi="TakaoPGothic"/>
          <w:b/>
          <w:sz w:val="24"/>
          <w:szCs w:val="24"/>
          <w:shd w:fill="FFFFFF" w:val="clear"/>
        </w:rPr>
      </w:pPr>
      <w:r>
        <w:rPr>
          <w:rFonts w:cs="Times New Roman" w:ascii="TakaoPGothic" w:hAnsi="TakaoPGothic"/>
          <w:b/>
          <w:sz w:val="24"/>
          <w:szCs w:val="24"/>
          <w:shd w:fill="FFFFFF" w:val="clear"/>
        </w:rPr>
        <w:t>Městský soud v Praze</w:t>
      </w:r>
    </w:p>
    <w:p>
      <w:pPr>
        <w:pStyle w:val="NoSpacing"/>
        <w:spacing w:lineRule="auto" w:line="312"/>
        <w:rPr>
          <w:rFonts w:ascii="TakaoPGothic" w:hAnsi="TakaoPGothic"/>
          <w:sz w:val="24"/>
          <w:szCs w:val="24"/>
          <w:shd w:fill="FFFFFF" w:val="clear"/>
        </w:rPr>
      </w:pPr>
      <w:r>
        <w:rPr>
          <w:rFonts w:ascii="TakaoPGothic" w:hAnsi="TakaoPGothic"/>
          <w:sz w:val="24"/>
          <w:szCs w:val="24"/>
          <w:shd w:fill="FFFFFF" w:val="clear"/>
        </w:rPr>
        <w:t>Hybernská 1006/18</w:t>
      </w:r>
    </w:p>
    <w:p>
      <w:pPr>
        <w:pStyle w:val="NoSpacing"/>
        <w:spacing w:lineRule="auto" w:line="312"/>
        <w:rPr>
          <w:rFonts w:ascii="TakaoPGothic" w:hAnsi="TakaoPGothic"/>
          <w:sz w:val="24"/>
          <w:szCs w:val="24"/>
          <w:shd w:fill="FFFFFF" w:val="clear"/>
        </w:rPr>
      </w:pPr>
      <w:r>
        <w:rPr>
          <w:rFonts w:ascii="TakaoPGothic" w:hAnsi="TakaoPGothic"/>
          <w:sz w:val="24"/>
          <w:szCs w:val="24"/>
          <w:shd w:fill="FFFFFF" w:val="clear"/>
        </w:rPr>
        <w:t>111 21 Praha 1</w:t>
      </w:r>
    </w:p>
    <w:p>
      <w:pPr>
        <w:pStyle w:val="NoSpacing"/>
        <w:spacing w:lineRule="auto" w:line="312"/>
        <w:rPr>
          <w:rFonts w:cs="Times New Roman" w:ascii="TakaoPGothic" w:hAnsi="TakaoPGothic"/>
          <w:b/>
          <w:bCs/>
          <w:sz w:val="24"/>
          <w:szCs w:val="24"/>
          <w:shd w:fill="FFFFFF" w:val="clear"/>
        </w:rPr>
      </w:pPr>
      <w:r>
        <w:rPr>
          <w:rFonts w:cs="Times New Roman" w:ascii="TakaoPGothic" w:hAnsi="TakaoPGothic"/>
          <w:b/>
          <w:bCs/>
          <w:sz w:val="24"/>
          <w:szCs w:val="24"/>
          <w:shd w:fill="FFFFFF" w:val="clear"/>
        </w:rPr>
        <w:t>ID DS snkabbm</w:t>
      </w:r>
    </w:p>
    <w:p>
      <w:pPr>
        <w:pStyle w:val="NoSpacing"/>
        <w:spacing w:lineRule="auto" w:line="312"/>
        <w:rPr>
          <w:rFonts w:cs="Times New Roman" w:ascii="TakaoPGothic" w:hAnsi="TakaoPGothic"/>
          <w:b/>
          <w:bCs/>
          <w:sz w:val="24"/>
          <w:szCs w:val="24"/>
          <w:shd w:fill="FFFFFF" w:val="clear"/>
        </w:rPr>
      </w:pPr>
      <w:r>
        <w:rPr>
          <w:rFonts w:cs="Times New Roman" w:ascii="TakaoPGothic" w:hAnsi="TakaoPGothic"/>
          <w:b/>
          <w:bCs/>
          <w:sz w:val="24"/>
          <w:szCs w:val="24"/>
          <w:shd w:fill="FFFFFF" w:val="clear"/>
        </w:rPr>
      </w:r>
    </w:p>
    <w:p>
      <w:pPr>
        <w:pStyle w:val="NoSpacing"/>
        <w:spacing w:lineRule="auto" w:line="312"/>
        <w:rPr>
          <w:rFonts w:cs="Times New Roman" w:ascii="TakaoPGothic" w:hAnsi="TakaoPGothic"/>
          <w:b/>
          <w:bCs/>
          <w:sz w:val="24"/>
          <w:szCs w:val="24"/>
          <w:shd w:fill="FFFFFF" w:val="clear"/>
        </w:rPr>
      </w:pPr>
      <w:r>
        <w:rPr>
          <w:rFonts w:cs="Times New Roman" w:ascii="TakaoPGothic" w:hAnsi="TakaoPGothic"/>
          <w:b/>
          <w:bCs/>
          <w:sz w:val="24"/>
          <w:szCs w:val="24"/>
          <w:shd w:fill="FFFFFF" w:val="clear"/>
        </w:rPr>
        <w:t>Ke sp. zn. 10 A 177/2015</w:t>
      </w:r>
    </w:p>
    <w:p>
      <w:pPr>
        <w:pStyle w:val="NoSpacing"/>
        <w:spacing w:lineRule="auto" w:line="312"/>
        <w:jc w:val="right"/>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jc w:val="right"/>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jc w:val="right"/>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jc w:val="right"/>
        <w:rPr>
          <w:rFonts w:cs="Times New Roman" w:ascii="TakaoPGothic" w:hAnsi="TakaoPGothic"/>
          <w:sz w:val="24"/>
          <w:szCs w:val="24"/>
          <w:shd w:fill="FFFFFF" w:val="clear"/>
        </w:rPr>
      </w:pPr>
      <w:r>
        <w:rPr>
          <w:rFonts w:cs="Times New Roman" w:ascii="TakaoPGothic" w:hAnsi="TakaoPGothic"/>
          <w:sz w:val="24"/>
          <w:szCs w:val="24"/>
          <w:shd w:fill="FFFFFF" w:val="clear"/>
        </w:rPr>
        <w:t xml:space="preserve">Praha, </w:t>
      </w:r>
      <w:r>
        <w:rPr>
          <w:rFonts w:cs="Times New Roman" w:ascii="TakaoPGothic" w:hAnsi="TakaoPGothic"/>
          <w:sz w:val="24"/>
          <w:szCs w:val="24"/>
          <w:shd w:fill="FFFFFF" w:val="clear"/>
        </w:rPr>
        <w:t>28. 3. 2015</w:t>
      </w:r>
    </w:p>
    <w:p>
      <w:pPr>
        <w:pStyle w:val="NoSpacing"/>
        <w:spacing w:lineRule="auto" w:line="312"/>
        <w:jc w:val="right"/>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jc w:val="right"/>
        <w:rPr>
          <w:rFonts w:ascii="TakaoPGothic" w:hAnsi="TakaoPGothic"/>
          <w:sz w:val="24"/>
          <w:szCs w:val="24"/>
          <w:shd w:fill="FFFFFF" w:val="clear"/>
        </w:rPr>
      </w:pPr>
      <w:r>
        <w:rPr>
          <w:rFonts w:ascii="TakaoPGothic" w:hAnsi="TakaoPGothic"/>
          <w:sz w:val="24"/>
          <w:szCs w:val="24"/>
          <w:shd w:fill="FFFFFF" w:val="clear"/>
        </w:rPr>
      </w:r>
    </w:p>
    <w:p>
      <w:pPr>
        <w:pStyle w:val="NoSpacing"/>
        <w:spacing w:lineRule="auto" w:line="312"/>
        <w:jc w:val="right"/>
        <w:rPr>
          <w:rFonts w:ascii="TakaoPGothic" w:hAnsi="TakaoPGothic"/>
          <w:sz w:val="24"/>
          <w:szCs w:val="24"/>
          <w:shd w:fill="FFFFFF" w:val="clear"/>
        </w:rPr>
      </w:pPr>
      <w:r>
        <w:rPr>
          <w:rFonts w:ascii="TakaoPGothic" w:hAnsi="TakaoPGothic"/>
          <w:sz w:val="24"/>
          <w:szCs w:val="24"/>
          <w:shd w:fill="FFFFFF" w:val="clear"/>
        </w:rPr>
      </w:r>
    </w:p>
    <w:p>
      <w:pPr>
        <w:pStyle w:val="NoSpacing"/>
        <w:spacing w:lineRule="auto" w:line="312"/>
        <w:jc w:val="left"/>
        <w:rPr>
          <w:rFonts w:cs="Times New Roman" w:ascii="TakaoPGothic" w:hAnsi="TakaoPGothic"/>
          <w:sz w:val="24"/>
          <w:szCs w:val="24"/>
          <w:shd w:fill="FFFFFF" w:val="clear"/>
        </w:rPr>
      </w:pPr>
      <w:r>
        <w:rPr>
          <w:rFonts w:cs="Times New Roman" w:ascii="TakaoPGothic" w:hAnsi="TakaoPGothic"/>
          <w:sz w:val="24"/>
          <w:szCs w:val="24"/>
          <w:shd w:fill="FFFFFF" w:val="clear"/>
        </w:rPr>
        <w:t xml:space="preserve"> </w:t>
      </w:r>
    </w:p>
    <w:p>
      <w:pPr>
        <w:pStyle w:val="Normal"/>
        <w:widowControl/>
        <w:bidi w:val="0"/>
        <w:spacing w:lineRule="auto" w:line="312"/>
        <w:ind w:left="2154" w:right="0" w:hanging="2154"/>
        <w:jc w:val="left"/>
        <w:rPr>
          <w:rFonts w:cs="Times New Roman" w:ascii="TakaoPGothic" w:hAnsi="TakaoPGothic"/>
          <w:b/>
          <w:bCs/>
          <w:sz w:val="24"/>
          <w:szCs w:val="24"/>
          <w:u w:val="none"/>
          <w:shd w:fill="FFFFFF" w:val="clear"/>
        </w:rPr>
      </w:pPr>
      <w:r>
        <w:rPr>
          <w:rFonts w:cs="Times New Roman" w:ascii="TakaoPGothic" w:hAnsi="TakaoPGothic"/>
          <w:b/>
          <w:bCs/>
          <w:sz w:val="24"/>
          <w:szCs w:val="24"/>
          <w:u w:val="none"/>
          <w:shd w:fill="FFFFFF" w:val="clear"/>
        </w:rPr>
        <w:t>VĚC:</w:t>
        <w:tab/>
      </w:r>
      <w:r>
        <w:rPr>
          <w:rFonts w:cs="Times New Roman" w:ascii="TakaoPGothic" w:hAnsi="TakaoPGothic"/>
          <w:b/>
          <w:bCs/>
          <w:sz w:val="24"/>
          <w:szCs w:val="24"/>
          <w:u w:val="none"/>
          <w:shd w:fill="FFFFFF" w:val="clear"/>
        </w:rPr>
        <w:t>ČÁSTEČNÉ ZPĚTVZETÍ NÁVRHU</w:t>
      </w:r>
    </w:p>
    <w:p>
      <w:pPr>
        <w:pStyle w:val="Normal"/>
        <w:widowControl/>
        <w:bidi w:val="0"/>
        <w:spacing w:lineRule="auto" w:line="312"/>
        <w:ind w:left="2154" w:right="0" w:hanging="2154"/>
        <w:jc w:val="left"/>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ab/>
        <w:t>podle § 37 odst. 4 zákona č. 150/2002 Sb., soudního řádu správního (s.ř.s.),</w:t>
      </w:r>
    </w:p>
    <w:p>
      <w:pPr>
        <w:pStyle w:val="Normal"/>
        <w:spacing w:lineRule="auto" w:line="312"/>
        <w:rPr>
          <w:rFonts w:cs="Times New Roman" w:ascii="TakaoPGothic" w:hAnsi="TakaoPGothic"/>
          <w:sz w:val="24"/>
          <w:szCs w:val="24"/>
          <w:u w:val="none"/>
          <w:shd w:fill="FFFFFF" w:val="clear"/>
        </w:rPr>
      </w:pPr>
      <w:r>
        <w:rPr>
          <w:rFonts w:cs="Times New Roman" w:ascii="TakaoPGothic" w:hAnsi="TakaoPGothic"/>
          <w:sz w:val="24"/>
          <w:szCs w:val="24"/>
          <w:u w:val="none"/>
          <w:shd w:fill="FFFFFF" w:val="clear"/>
        </w:rPr>
      </w:r>
    </w:p>
    <w:p>
      <w:pPr>
        <w:pStyle w:val="Normal"/>
        <w:spacing w:lineRule="auto" w:line="312"/>
        <w:rPr>
          <w:rFonts w:cs="Times New Roman" w:ascii="TakaoPGothic" w:hAnsi="TakaoPGothic"/>
          <w:sz w:val="24"/>
          <w:szCs w:val="24"/>
          <w:u w:val="none"/>
          <w:shd w:fill="FFFFFF" w:val="clear"/>
        </w:rPr>
      </w:pPr>
      <w:r>
        <w:rPr>
          <w:rFonts w:cs="Times New Roman" w:ascii="TakaoPGothic" w:hAnsi="TakaoPGothic"/>
          <w:sz w:val="24"/>
          <w:szCs w:val="24"/>
          <w:u w:val="none"/>
          <w:shd w:fill="FFFFFF" w:val="clear"/>
        </w:rPr>
      </w:r>
    </w:p>
    <w:p>
      <w:pPr>
        <w:pStyle w:val="NoSpacing"/>
        <w:spacing w:lineRule="auto" w:line="312"/>
        <w:rPr>
          <w:rFonts w:cs="Times New Roman" w:ascii="TakaoPGothic" w:hAnsi="TakaoPGothic"/>
          <w:sz w:val="24"/>
          <w:szCs w:val="24"/>
          <w:shd w:fill="FFFFFF" w:val="clear"/>
        </w:rPr>
      </w:pPr>
      <w:r>
        <w:rPr>
          <w:rFonts w:cs="Times New Roman" w:ascii="TakaoPGothic" w:hAnsi="TakaoPGothic"/>
          <w:b/>
          <w:sz w:val="24"/>
          <w:szCs w:val="24"/>
          <w:shd w:fill="FFFFFF" w:val="clear"/>
        </w:rPr>
        <w:t>Žalobce:</w:t>
        <w:tab/>
        <w:tab/>
        <w:t>Adam Zábranský</w:t>
      </w:r>
      <w:r>
        <w:rPr>
          <w:rFonts w:cs="Times New Roman" w:ascii="TakaoPGothic" w:hAnsi="TakaoPGothic"/>
          <w:b w:val="false"/>
          <w:bCs w:val="false"/>
          <w:sz w:val="24"/>
          <w:szCs w:val="24"/>
          <w:shd w:fill="FFFFFF" w:val="clear"/>
        </w:rPr>
        <w:t xml:space="preserve">, </w:t>
      </w:r>
      <w:r>
        <w:rPr>
          <w:rFonts w:cs="Times New Roman" w:ascii="TakaoPGothic" w:hAnsi="TakaoPGothic"/>
          <w:sz w:val="24"/>
          <w:szCs w:val="24"/>
          <w:shd w:fill="FFFFFF" w:val="clear"/>
        </w:rPr>
        <w:t>nar. 28. 12. 1993</w:t>
      </w:r>
    </w:p>
    <w:p>
      <w:pPr>
        <w:pStyle w:val="NoSpacing"/>
        <w:spacing w:lineRule="auto" w:line="312"/>
        <w:ind w:left="0" w:right="0" w:hanging="0"/>
        <w:rPr>
          <w:rFonts w:cs="Times New Roman" w:ascii="TakaoPGothic" w:hAnsi="TakaoPGothic"/>
          <w:sz w:val="24"/>
          <w:szCs w:val="24"/>
          <w:shd w:fill="FFFFFF" w:val="clear"/>
        </w:rPr>
      </w:pPr>
      <w:r>
        <w:rPr>
          <w:rFonts w:cs="Times New Roman" w:ascii="TakaoPGothic" w:hAnsi="TakaoPGothic"/>
          <w:sz w:val="24"/>
          <w:szCs w:val="24"/>
          <w:shd w:fill="FFFFFF" w:val="clear"/>
        </w:rPr>
        <w:tab/>
        <w:tab/>
        <w:tab/>
        <w:t>bytem Zbynická 6, 153 00 Praha 16</w:t>
      </w:r>
    </w:p>
    <w:p>
      <w:pPr>
        <w:pStyle w:val="NoSpacing"/>
        <w:spacing w:lineRule="auto" w:line="312"/>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rPr>
          <w:rFonts w:cs="Times New Roman" w:ascii="TakaoPGothic" w:hAnsi="TakaoPGothic"/>
          <w:sz w:val="24"/>
          <w:szCs w:val="24"/>
          <w:shd w:fill="FFFFFF" w:val="clear"/>
        </w:rPr>
      </w:pPr>
      <w:r>
        <w:rPr>
          <w:rFonts w:cs="Times New Roman" w:ascii="TakaoPGothic" w:hAnsi="TakaoPGothic"/>
          <w:b w:val="false"/>
          <w:bCs w:val="false"/>
          <w:sz w:val="24"/>
          <w:szCs w:val="24"/>
          <w:shd w:fill="FFFFFF" w:val="clear"/>
        </w:rPr>
        <w:t>zástupce:</w:t>
        <w:tab/>
        <w:tab/>
      </w:r>
      <w:r>
        <w:rPr>
          <w:rFonts w:cs="Times New Roman" w:ascii="TakaoPGothic" w:hAnsi="TakaoPGothic"/>
          <w:sz w:val="24"/>
          <w:szCs w:val="24"/>
          <w:shd w:fill="FFFFFF" w:val="clear"/>
        </w:rPr>
        <w:t>Mgr. Filip Hajný, advokát, ev. č. ČAK 14269</w:t>
      </w:r>
    </w:p>
    <w:p>
      <w:pPr>
        <w:pStyle w:val="NoSpacing"/>
        <w:spacing w:lineRule="auto" w:line="312"/>
        <w:rPr>
          <w:rFonts w:cs="Times New Roman" w:ascii="TakaoPGothic" w:hAnsi="TakaoPGothic"/>
          <w:sz w:val="24"/>
          <w:szCs w:val="24"/>
          <w:shd w:fill="FFFFFF" w:val="clear"/>
        </w:rPr>
      </w:pPr>
      <w:r>
        <w:rPr>
          <w:rFonts w:cs="Times New Roman" w:ascii="TakaoPGothic" w:hAnsi="TakaoPGothic"/>
          <w:sz w:val="24"/>
          <w:szCs w:val="24"/>
          <w:shd w:fill="FFFFFF" w:val="clear"/>
        </w:rPr>
        <w:tab/>
        <w:tab/>
        <w:tab/>
        <w:t>se sídlem Moskevská 532/60, 101 00 Praha 10 - Vršovice</w:t>
      </w:r>
    </w:p>
    <w:p>
      <w:pPr>
        <w:pStyle w:val="NoSpacing"/>
        <w:spacing w:lineRule="auto" w:line="312"/>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rmal"/>
        <w:spacing w:lineRule="auto" w:line="312"/>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rPr>
          <w:rStyle w:val="Silnzdraznn"/>
          <w:b w:val="false"/>
          <w:bCs w:val="false"/>
        </w:rPr>
      </w:pPr>
      <w:r>
        <w:rPr>
          <w:rFonts w:cs="Times New Roman" w:ascii="TakaoPGothic" w:hAnsi="TakaoPGothic"/>
          <w:b/>
          <w:sz w:val="24"/>
          <w:szCs w:val="24"/>
          <w:shd w:fill="FFFFFF" w:val="clear"/>
        </w:rPr>
        <w:t>Žalovaná:</w:t>
        <w:tab/>
        <w:tab/>
        <w:t xml:space="preserve">Pražská </w:t>
      </w:r>
      <w:r>
        <w:rPr>
          <w:rFonts w:cs="Times New Roman" w:ascii="TakaoPGothic" w:hAnsi="TakaoPGothic"/>
          <w:b/>
          <w:sz w:val="24"/>
          <w:szCs w:val="24"/>
          <w:shd w:fill="FFFFFF" w:val="clear"/>
        </w:rPr>
        <w:t>plynárenská</w:t>
      </w:r>
      <w:r>
        <w:rPr>
          <w:rFonts w:cs="Times New Roman" w:ascii="TakaoPGothic" w:hAnsi="TakaoPGothic"/>
          <w:b/>
          <w:sz w:val="24"/>
          <w:szCs w:val="24"/>
          <w:shd w:fill="FFFFFF" w:val="clear"/>
        </w:rPr>
        <w:t xml:space="preserve"> Holding, a.s.</w:t>
      </w:r>
      <w:r>
        <w:rPr>
          <w:rFonts w:cs="Times New Roman" w:ascii="TakaoPGothic" w:hAnsi="TakaoPGothic"/>
          <w:b w:val="false"/>
          <w:bCs w:val="false"/>
          <w:sz w:val="24"/>
          <w:szCs w:val="24"/>
          <w:shd w:fill="FFFFFF" w:val="clear"/>
        </w:rPr>
        <w:t xml:space="preserve">, IČO: </w:t>
      </w:r>
      <w:r>
        <w:rPr>
          <w:rStyle w:val="Silnzdraznn"/>
          <w:b w:val="false"/>
          <w:bCs w:val="false"/>
        </w:rPr>
        <w:t>264</w:t>
      </w:r>
      <w:r>
        <w:rPr>
          <w:rStyle w:val="Silnzdraznn"/>
          <w:b w:val="false"/>
          <w:bCs w:val="false"/>
        </w:rPr>
        <w:t xml:space="preserve"> </w:t>
      </w:r>
      <w:r>
        <w:rPr>
          <w:rStyle w:val="Silnzdraznn"/>
          <w:b w:val="false"/>
          <w:bCs w:val="false"/>
        </w:rPr>
        <w:t>42</w:t>
      </w:r>
      <w:r>
        <w:rPr>
          <w:rStyle w:val="Silnzdraznn"/>
          <w:b w:val="false"/>
          <w:bCs w:val="false"/>
        </w:rPr>
        <w:t xml:space="preserve"> </w:t>
      </w:r>
      <w:r>
        <w:rPr>
          <w:rStyle w:val="Silnzdraznn"/>
          <w:b w:val="false"/>
          <w:bCs w:val="false"/>
        </w:rPr>
        <w:t>272</w:t>
      </w:r>
    </w:p>
    <w:p>
      <w:pPr>
        <w:pStyle w:val="NoSpacing"/>
        <w:spacing w:lineRule="auto" w:line="312"/>
        <w:ind w:left="0" w:right="0" w:hanging="0"/>
        <w:rPr/>
      </w:pPr>
      <w:r>
        <w:rPr>
          <w:rFonts w:cs="Times New Roman" w:ascii="TakaoPGothic" w:hAnsi="TakaoPGothic"/>
          <w:sz w:val="24"/>
          <w:szCs w:val="24"/>
          <w:shd w:fill="FFFFFF" w:val="clear"/>
        </w:rPr>
        <w:tab/>
        <w:tab/>
        <w:tab/>
        <w:t xml:space="preserve">se sídlem </w:t>
      </w:r>
      <w:r>
        <w:rPr/>
        <w:t>U plynárny 500/44, Michle, 140 00 Praha 4</w:t>
      </w:r>
    </w:p>
    <w:p>
      <w:pPr>
        <w:pStyle w:val="NoSpacing"/>
        <w:spacing w:lineRule="auto" w:line="312"/>
        <w:ind w:left="0" w:right="0" w:hanging="0"/>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ind w:left="0" w:right="0" w:hanging="0"/>
        <w:rPr>
          <w:rFonts w:cs="Times New Roman" w:ascii="TakaoPGothic" w:hAnsi="TakaoPGothic"/>
          <w:sz w:val="24"/>
          <w:szCs w:val="24"/>
          <w:shd w:fill="FFFFFF" w:val="clear"/>
        </w:rPr>
      </w:pPr>
      <w:r>
        <w:rPr>
          <w:rFonts w:cs="Times New Roman" w:ascii="TakaoPGothic" w:hAnsi="TakaoPGothic"/>
          <w:sz w:val="24"/>
          <w:szCs w:val="24"/>
          <w:shd w:fill="FFFFFF" w:val="clear"/>
        </w:rPr>
        <w:t xml:space="preserve">zástupce: </w:t>
        <w:tab/>
        <w:tab/>
        <w:t>Mgr. Petr Kuchař, advokát, ev. č. ČAK 09130</w:t>
      </w:r>
    </w:p>
    <w:p>
      <w:pPr>
        <w:pStyle w:val="NoSpacing"/>
        <w:spacing w:lineRule="auto" w:line="312"/>
        <w:ind w:left="0" w:right="0" w:hanging="0"/>
        <w:rPr>
          <w:rFonts w:cs="Times New Roman" w:ascii="TakaoPGothic" w:hAnsi="TakaoPGothic"/>
          <w:sz w:val="24"/>
          <w:szCs w:val="24"/>
          <w:shd w:fill="FFFFFF" w:val="clear"/>
        </w:rPr>
      </w:pPr>
      <w:r>
        <w:rPr>
          <w:rFonts w:cs="Times New Roman" w:ascii="TakaoPGothic" w:hAnsi="TakaoPGothic"/>
          <w:sz w:val="24"/>
          <w:szCs w:val="24"/>
          <w:shd w:fill="FFFFFF" w:val="clear"/>
        </w:rPr>
        <w:tab/>
        <w:tab/>
        <w:tab/>
        <w:t xml:space="preserve">vykonávajícím advokacii ve společnosti Havel, Kuchař, Ryšavá a </w:t>
        <w:tab/>
        <w:tab/>
        <w:tab/>
        <w:t>partneři,</w:t>
        <w:t xml:space="preserve"> advokátní kancelář, s.r.o., </w:t>
      </w:r>
    </w:p>
    <w:p>
      <w:pPr>
        <w:pStyle w:val="NoSpacing"/>
        <w:spacing w:lineRule="auto" w:line="312"/>
        <w:ind w:left="0" w:right="0" w:hanging="0"/>
        <w:rPr>
          <w:rFonts w:cs="Times New Roman" w:ascii="TakaoPGothic" w:hAnsi="TakaoPGothic"/>
          <w:sz w:val="24"/>
          <w:szCs w:val="24"/>
          <w:shd w:fill="FFFFFF" w:val="clear"/>
        </w:rPr>
      </w:pPr>
      <w:r>
        <w:rPr>
          <w:rFonts w:cs="Times New Roman" w:ascii="TakaoPGothic" w:hAnsi="TakaoPGothic"/>
          <w:sz w:val="24"/>
          <w:szCs w:val="24"/>
          <w:shd w:fill="FFFFFF" w:val="clear"/>
        </w:rPr>
        <w:tab/>
        <w:tab/>
        <w:tab/>
        <w:t>se sídlem Na Pankráci 404/30a, 140 00 Praha 4</w:t>
      </w:r>
    </w:p>
    <w:p>
      <w:pPr>
        <w:pStyle w:val="NoSpacing"/>
        <w:spacing w:lineRule="auto" w:line="312"/>
        <w:ind w:left="2977" w:right="0" w:hanging="0"/>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ind w:left="2977" w:right="0" w:hanging="0"/>
        <w:rPr>
          <w:rFonts w:cs="Times New Roman" w:ascii="TakaoPGothic" w:hAnsi="TakaoPGothic"/>
          <w:sz w:val="24"/>
          <w:szCs w:val="24"/>
          <w:shd w:fill="FFFFFF" w:val="clear"/>
        </w:rPr>
      </w:pPr>
      <w:r>
        <w:rPr>
          <w:rFonts w:cs="Times New Roman" w:ascii="TakaoPGothic" w:hAnsi="TakaoPGothic"/>
          <w:sz w:val="24"/>
          <w:szCs w:val="24"/>
          <w:shd w:fill="FFFFFF" w:val="clear"/>
        </w:rPr>
      </w:r>
    </w:p>
    <w:p>
      <w:pPr>
        <w:pStyle w:val="NoSpacing"/>
        <w:spacing w:lineRule="auto" w:line="312"/>
        <w:ind w:left="2977" w:right="0" w:hanging="0"/>
        <w:rPr>
          <w:rFonts w:cs="Times New Roman" w:ascii="TakaoPGothic" w:hAnsi="TakaoPGothic"/>
          <w:b/>
          <w:sz w:val="24"/>
          <w:szCs w:val="24"/>
          <w:shd w:fill="FFFFFF" w:val="clear"/>
        </w:rPr>
      </w:pPr>
      <w:r>
        <w:rPr>
          <w:rFonts w:cs="Times New Roman" w:ascii="TakaoPGothic" w:hAnsi="TakaoPGothic"/>
          <w:b/>
          <w:sz w:val="24"/>
          <w:szCs w:val="24"/>
          <w:shd w:fill="FFFFFF" w:val="clear"/>
        </w:rPr>
      </w:r>
    </w:p>
    <w:p>
      <w:pPr>
        <w:pStyle w:val="Normal"/>
        <w:spacing w:lineRule="auto" w:line="312"/>
        <w:rPr>
          <w:rFonts w:cs="Times New Roman" w:ascii="TakaoPGothic" w:hAnsi="TakaoPGothic"/>
          <w:b w:val="false"/>
          <w:bCs w:val="false"/>
          <w:sz w:val="24"/>
          <w:szCs w:val="24"/>
          <w:shd w:fill="FFFFFF" w:val="clear"/>
        </w:rPr>
      </w:pPr>
      <w:r>
        <w:rPr>
          <w:rFonts w:cs="Times New Roman" w:ascii="TakaoPGothic" w:hAnsi="TakaoPGothic"/>
          <w:b/>
          <w:sz w:val="24"/>
          <w:szCs w:val="24"/>
          <w:shd w:fill="FFFFFF" w:val="clear"/>
        </w:rPr>
        <w:t>Přílohy:</w:t>
        <w:tab/>
        <w:tab/>
      </w:r>
      <w:r>
        <w:rPr>
          <w:rFonts w:cs="Times New Roman" w:ascii="TakaoPGothic" w:hAnsi="TakaoPGothic"/>
          <w:b w:val="false"/>
          <w:bCs w:val="false"/>
          <w:sz w:val="24"/>
          <w:szCs w:val="24"/>
          <w:shd w:fill="FFFFFF" w:val="clear"/>
        </w:rPr>
        <w:t xml:space="preserve">1. </w:t>
      </w:r>
      <w:r>
        <w:rPr>
          <w:rFonts w:cs="Times New Roman" w:ascii="TakaoPGothic" w:hAnsi="TakaoPGothic"/>
          <w:b w:val="false"/>
          <w:bCs w:val="false"/>
          <w:sz w:val="24"/>
          <w:szCs w:val="24"/>
          <w:shd w:fill="FFFFFF" w:val="clear"/>
        </w:rPr>
        <w:t>Dopis žalované žalobci ze dne 21. 12. 2015</w:t>
      </w:r>
    </w:p>
    <w:p>
      <w:pPr>
        <w:pStyle w:val="Normal"/>
        <w:pageBreakBefore/>
        <w:spacing w:lineRule="auto" w:line="312"/>
        <w:jc w:val="center"/>
        <w:rPr>
          <w:rFonts w:cs="Times New Roman" w:ascii="TakaoPGothic" w:hAnsi="TakaoPGothic"/>
          <w:b/>
          <w:sz w:val="24"/>
          <w:szCs w:val="24"/>
          <w:shd w:fill="FFFFFF" w:val="clear"/>
        </w:rPr>
      </w:pPr>
      <w:r>
        <w:rPr>
          <w:rFonts w:cs="Times New Roman" w:ascii="TakaoPGothic" w:hAnsi="TakaoPGothic"/>
          <w:b/>
          <w:sz w:val="24"/>
          <w:szCs w:val="24"/>
          <w:shd w:fill="FFFFFF" w:val="clear"/>
        </w:rPr>
        <w:t xml:space="preserve">I. </w:t>
        <w:br/>
      </w:r>
      <w:r>
        <w:rPr>
          <w:rFonts w:cs="Times New Roman" w:ascii="TakaoPGothic" w:hAnsi="TakaoPGothic"/>
          <w:b/>
          <w:sz w:val="24"/>
          <w:szCs w:val="24"/>
          <w:shd w:fill="FFFFFF" w:val="clear"/>
        </w:rPr>
        <w:t>Nové skutečnosti</w:t>
      </w:r>
    </w:p>
    <w:p>
      <w:pPr>
        <w:pStyle w:val="ListParagraph"/>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shd w:fill="FFFFFF" w:val="clear"/>
        </w:rPr>
        <w:t xml:space="preserve">Po té, co žalobce podal dne 3. 11. 2015 žalobu proti rozhodnutí žalované </w:t>
      </w:r>
      <w:r>
        <w:rPr>
          <w:rFonts w:cs="Times New Roman" w:ascii="TakaoPGothic" w:hAnsi="TakaoPGothic"/>
          <w:b w:val="false"/>
          <w:bCs w:val="false"/>
          <w:sz w:val="24"/>
          <w:szCs w:val="24"/>
          <w:shd w:fill="FFFFFF" w:val="clear"/>
        </w:rPr>
        <w:t>ze dne 5. 10. 2015 (dále jen „žalované rozhodnutí“)</w:t>
      </w:r>
      <w:r>
        <w:rPr>
          <w:rFonts w:cs="Times New Roman" w:ascii="TakaoPGothic" w:hAnsi="TakaoPGothic"/>
          <w:b w:val="false"/>
          <w:bCs w:val="false"/>
          <w:sz w:val="24"/>
          <w:szCs w:val="24"/>
          <w:shd w:fill="FFFFFF" w:val="clear"/>
        </w:rPr>
        <w:t>, se staly následující dvě skutečnosti: žalovaná se přípisem ze dne 21. 12. 2015 vyjádřila k žalobě a zároveň dopisem ze stejného dne žalobci poskytla část požadovaných informací. Vzhledem k tomu se žalobce rozhodl jednak napsat repliku k vyjádření žalované, jednak vzít svůj návrh ze dne 3. 11. 2015 částečně zpět v souladu § 37</w:t>
      </w:r>
      <w:r>
        <w:rPr>
          <w:rFonts w:cs="Times New Roman" w:ascii="TakaoPGothic" w:hAnsi="TakaoPGothic"/>
          <w:b w:val="false"/>
          <w:bCs w:val="false"/>
          <w:sz w:val="24"/>
          <w:szCs w:val="24"/>
          <w:u w:val="none"/>
          <w:shd w:fill="FFFFFF" w:val="clear"/>
        </w:rPr>
        <w:t xml:space="preserve"> odst. 4 s.ř.s., a to pro pozdější chování žalované.</w:t>
      </w:r>
    </w:p>
    <w:p>
      <w:pPr>
        <w:pStyle w:val="ListParagraph"/>
        <w:widowControl/>
        <w:suppressAutoHyphens w:val="true"/>
        <w:bidi w:val="0"/>
        <w:spacing w:lineRule="auto" w:line="312" w:before="0" w:after="113"/>
        <w:jc w:val="both"/>
        <w:rPr>
          <w:rFonts w:cs="Times New Roman" w:ascii="TakaoPGothic" w:hAnsi="TakaoPGothic"/>
          <w:b/>
          <w:sz w:val="24"/>
          <w:szCs w:val="24"/>
          <w:shd w:fill="FFFFFF" w:val="clear"/>
        </w:rPr>
      </w:pPr>
      <w:r>
        <w:rPr>
          <w:rFonts w:cs="Times New Roman" w:ascii="TakaoPGothic" w:hAnsi="TakaoPGothic"/>
          <w:b/>
          <w:sz w:val="24"/>
          <w:szCs w:val="24"/>
          <w:shd w:fill="FFFFFF" w:val="clear"/>
        </w:rPr>
      </w:r>
    </w:p>
    <w:p>
      <w:pPr>
        <w:pStyle w:val="Normal"/>
        <w:spacing w:lineRule="auto" w:line="312" w:before="0" w:after="0"/>
        <w:ind w:left="426" w:right="0" w:hanging="0"/>
        <w:jc w:val="center"/>
        <w:rPr>
          <w:rFonts w:cs="Times New Roman" w:ascii="TakaoPGothic" w:hAnsi="TakaoPGothic"/>
          <w:b/>
          <w:bCs/>
          <w:sz w:val="24"/>
          <w:szCs w:val="24"/>
          <w:shd w:fill="FFFFFF" w:val="clear"/>
        </w:rPr>
      </w:pPr>
      <w:r>
        <w:rPr>
          <w:rFonts w:cs="Times New Roman" w:ascii="TakaoPGothic" w:hAnsi="TakaoPGothic"/>
          <w:b/>
          <w:bCs/>
          <w:sz w:val="24"/>
          <w:szCs w:val="24"/>
          <w:shd w:fill="FFFFFF" w:val="clear"/>
        </w:rPr>
        <w:t>II.</w:t>
      </w:r>
    </w:p>
    <w:p>
      <w:pPr>
        <w:pStyle w:val="Normal"/>
        <w:spacing w:lineRule="auto" w:line="312"/>
        <w:ind w:left="426" w:right="0" w:hanging="0"/>
        <w:jc w:val="center"/>
        <w:rPr>
          <w:rFonts w:cs="Times New Roman" w:ascii="TakaoPGothic" w:hAnsi="TakaoPGothic"/>
          <w:b/>
          <w:sz w:val="24"/>
          <w:szCs w:val="24"/>
          <w:shd w:fill="FFFFFF" w:val="clear"/>
        </w:rPr>
      </w:pPr>
      <w:r>
        <w:rPr>
          <w:rFonts w:cs="Times New Roman" w:ascii="TakaoPGothic" w:hAnsi="TakaoPGothic"/>
          <w:b/>
          <w:sz w:val="24"/>
          <w:szCs w:val="24"/>
          <w:shd w:fill="FFFFFF" w:val="clear"/>
        </w:rPr>
        <w:t>Replika k vyjádření žalované</w:t>
      </w:r>
    </w:p>
    <w:p>
      <w:pPr>
        <w:pStyle w:val="ListParagraph"/>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Žalovaná ve svém vyjádření akcentuje následující argumenty: a) žalovaná není správním orgánem, tudíž ani nemůže vydávat rozhodnutí, které by bylo možné žalovat podle s.ř.s., b) žalovaná není povinným subjektem dle § 2 odst. 1 zákona č. 106/1999 Sb., o svobodném přístupu k informacím (</w:t>
      </w:r>
      <w:r>
        <w:rPr>
          <w:rFonts w:cs="Times New Roman" w:ascii="TakaoPGothic" w:hAnsi="TakaoPGothic"/>
          <w:b w:val="false"/>
          <w:bCs w:val="false"/>
          <w:sz w:val="24"/>
          <w:szCs w:val="24"/>
          <w:u w:val="none"/>
          <w:shd w:fill="FFFFFF" w:val="clear"/>
        </w:rPr>
        <w:t>dále jen „</w:t>
      </w:r>
      <w:r>
        <w:rPr>
          <w:rFonts w:cs="Times New Roman" w:ascii="TakaoPGothic" w:hAnsi="TakaoPGothic"/>
          <w:b w:val="false"/>
          <w:bCs w:val="false"/>
          <w:sz w:val="24"/>
          <w:szCs w:val="24"/>
          <w:u w:val="none"/>
          <w:shd w:fill="FFFFFF" w:val="clear"/>
        </w:rPr>
        <w:t>InfZ“), c) za povinné subjekty nelze požadovat ani obchodní společnosti v holdingu Pražská plynárenská, a.s., a tudíž požadované informace o nich nelze poskytnout.</w:t>
      </w:r>
    </w:p>
    <w:p>
      <w:pPr>
        <w:pStyle w:val="ListParagraph"/>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K argumentu a) žalobce uvádí, že pro žalobní i pasivní legitimaci v žalobě proti rozhodnutí o odepření žádosti o informace žalovaná nemusí být správním orgánem, postačí, když je povinným subjektem dle InfZ. Ačkoliv žalovaná nevydala rozhodnutí o odepření informací s formálními náležitostmi, které jí ukládá zákon, v souladu s judikaturou správních soudů je potřeba rozhodnutí posuzovat podle jeho materiální povahy. Žalovaná se ve svém dopise jasně vyjádřila, že část požadovaných informací žalobci odmítá poskytnout.</w:t>
      </w:r>
    </w:p>
    <w:p>
      <w:pPr>
        <w:pStyle w:val="ListParagraph"/>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K argumentu b) žalobce uvádí, že žalovaná v souladu s judikaturou Ústavního soudu a Nejvyššího správního soudu zcela jistě povinným subjektem je. Žalobce však tento svůj argument dostatečně podepřel již v žalobě.</w:t>
      </w:r>
    </w:p>
    <w:p>
      <w:pPr>
        <w:pStyle w:val="ListParagraph"/>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K argumentu c) žalobce uvádí, že omezit informační povinnost pouze na ovládané obchodní společnosti a nevztáhnout je na jejich dceřiné či vnukovské společnosti by bylo v rozporu s ústavně garantovaným právem občanů na přístup k informacím. Jak už žalobce uvedl v žalobě, toto omezení by bylo lehce zneužitelné v neprospěch práva na informace.</w:t>
      </w:r>
    </w:p>
    <w:p>
      <w:pPr>
        <w:pStyle w:val="ListParagraph"/>
        <w:widowControl/>
        <w:suppressAutoHyphens w:val="true"/>
        <w:bidi w:val="0"/>
        <w:spacing w:lineRule="auto" w:line="312" w:before="0" w:after="113"/>
        <w:jc w:val="both"/>
        <w:rPr>
          <w:rFonts w:cs="Times New Roman" w:ascii="TakaoPGothic" w:hAnsi="TakaoPGothic"/>
          <w:b/>
          <w:sz w:val="24"/>
          <w:szCs w:val="24"/>
          <w:shd w:fill="FFFFFF" w:val="clear"/>
        </w:rPr>
      </w:pPr>
      <w:r>
        <w:rPr>
          <w:rFonts w:cs="Times New Roman" w:ascii="TakaoPGothic" w:hAnsi="TakaoPGothic"/>
          <w:b/>
          <w:sz w:val="24"/>
          <w:szCs w:val="24"/>
          <w:shd w:fill="FFFFFF" w:val="clear"/>
        </w:rPr>
      </w:r>
    </w:p>
    <w:p>
      <w:pPr>
        <w:pStyle w:val="Normal"/>
        <w:spacing w:lineRule="auto" w:line="312"/>
        <w:jc w:val="center"/>
        <w:rPr/>
      </w:pPr>
      <w:r>
        <w:rPr/>
      </w:r>
    </w:p>
    <w:p>
      <w:pPr>
        <w:pStyle w:val="Normal"/>
        <w:pageBreakBefore/>
        <w:spacing w:lineRule="auto" w:line="312"/>
        <w:jc w:val="center"/>
        <w:rPr>
          <w:rFonts w:cs="Times New Roman" w:ascii="TakaoPGothic" w:hAnsi="TakaoPGothic"/>
          <w:b/>
          <w:sz w:val="24"/>
          <w:szCs w:val="24"/>
          <w:shd w:fill="FFFFFF" w:val="clear"/>
        </w:rPr>
      </w:pPr>
      <w:r>
        <w:rPr>
          <w:rFonts w:cs="Times New Roman" w:ascii="TakaoPGothic" w:hAnsi="TakaoPGothic"/>
          <w:b/>
          <w:bCs/>
          <w:sz w:val="24"/>
          <w:szCs w:val="24"/>
          <w:shd w:fill="FFFFFF" w:val="clear"/>
        </w:rPr>
        <w:t>III.</w:t>
      </w:r>
      <w:r>
        <w:rPr>
          <w:rFonts w:cs="Times New Roman" w:ascii="TakaoPGothic" w:hAnsi="TakaoPGothic"/>
          <w:sz w:val="24"/>
          <w:szCs w:val="24"/>
          <w:shd w:fill="FFFFFF" w:val="clear"/>
        </w:rPr>
        <w:br/>
      </w:r>
      <w:r>
        <w:rPr>
          <w:rFonts w:cs="Times New Roman" w:ascii="TakaoPGothic" w:hAnsi="TakaoPGothic"/>
          <w:b/>
          <w:sz w:val="24"/>
          <w:szCs w:val="24"/>
          <w:shd w:fill="FFFFFF" w:val="clear"/>
        </w:rPr>
        <w:t>Částečné zpětvzetí návrhu</w:t>
      </w:r>
    </w:p>
    <w:p>
      <w:pPr>
        <w:pStyle w:val="Normal"/>
        <w:keepNext/>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Jak již bylo výše uvedeno, žalovaný žalobci dopisem ze 21. 12. 2015 poskytl část požadovaných informací. Nastala tak zákonem nepředpokládaná situace, kdy povinný subjekt poté, co vyd</w:t>
      </w:r>
      <w:r>
        <w:rPr>
          <w:rFonts w:cs="Times New Roman" w:ascii="TakaoPGothic" w:hAnsi="TakaoPGothic"/>
          <w:b w:val="false"/>
          <w:bCs w:val="false"/>
          <w:sz w:val="24"/>
          <w:szCs w:val="24"/>
          <w:u w:val="none"/>
          <w:shd w:fill="FFFFFF" w:val="clear"/>
        </w:rPr>
        <w:t>al</w:t>
      </w:r>
      <w:r>
        <w:rPr>
          <w:rFonts w:cs="Times New Roman" w:ascii="TakaoPGothic" w:hAnsi="TakaoPGothic"/>
          <w:b w:val="false"/>
          <w:bCs w:val="false"/>
          <w:sz w:val="24"/>
          <w:szCs w:val="24"/>
          <w:u w:val="none"/>
          <w:shd w:fill="FFFFFF" w:val="clear"/>
        </w:rPr>
        <w:t xml:space="preserve"> rozhodnutí </w:t>
      </w:r>
      <w:r>
        <w:rPr>
          <w:rFonts w:cs="Times New Roman" w:ascii="TakaoPGothic" w:hAnsi="TakaoPGothic"/>
          <w:b w:val="false"/>
          <w:bCs w:val="false"/>
          <w:sz w:val="24"/>
          <w:szCs w:val="24"/>
          <w:u w:val="none"/>
          <w:shd w:fill="FFFFFF" w:val="clear"/>
        </w:rPr>
        <w:t>o částečném odepření informací</w:t>
      </w:r>
      <w:r>
        <w:rPr>
          <w:rFonts w:cs="Times New Roman" w:ascii="TakaoPGothic" w:hAnsi="TakaoPGothic"/>
          <w:b w:val="false"/>
          <w:bCs w:val="false"/>
          <w:sz w:val="24"/>
          <w:szCs w:val="24"/>
          <w:u w:val="none"/>
          <w:shd w:fill="FFFFFF" w:val="clear"/>
        </w:rPr>
        <w:t xml:space="preserve"> </w:t>
      </w:r>
      <w:r>
        <w:rPr>
          <w:rFonts w:cs="Times New Roman" w:ascii="TakaoPGothic" w:hAnsi="TakaoPGothic"/>
          <w:b w:val="false"/>
          <w:bCs w:val="false"/>
          <w:sz w:val="24"/>
          <w:szCs w:val="24"/>
          <w:u w:val="none"/>
          <w:shd w:fill="FFFFFF" w:val="clear"/>
        </w:rPr>
        <w:t>(žalované rozhodnutí), toto rozhodnutí později sám od sebe pozměnil tak, že žalobci poskytl další část informací. Žalobce tuto situaci vyhodnotil tím způsobem, že se jedná o další rozhodnutí vydané stejným orgánem, a to takové rozhodnutí, proti kterému se opět (stejně jako v případě žalovaného rozhodnutí) nelze v souladu s § 16a odst. 9 věty třetí odvolat. Nicméně vzhledem k tomu, že zákon vůbec nepředpokládá možnost vydat takovéto „opravné“ rozhodnutí, jedná se dle žalobce o nicotné rozhodnutí dle § 77 odst. 2 s.ř.s. (je to rozhodnutí, které trpí jinými vadami, pro něž je nelze vůbec považovat za rozhodnutí správního orgánu). Žalobce proto nebude měnit svou žalobu proti žalovanému rozhodnutí na žalobu proti „rozhodnutí“ ze dne 21. 12. 2015.</w:t>
      </w:r>
    </w:p>
    <w:p>
      <w:pPr>
        <w:pStyle w:val="Normal"/>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Vzhledem k výše uvedenému se žalobce obává, že kdyby částečně nevzal zpět svůj původní návrh, mohl by být se svou žalobou částečně neúspěšný, protože soud dle § 81 odst. 1 s.ř.s. rozhoduje na základě skutkového stavu zjištěného ke dni svého rozhodnutí. Nicméně dělá tak na základě pozdějšího chování žalovaného a v souladu s ustanovením § 60 odst. 3 věty druhé mu za to náleží náhrada nákladů řízení.</w:t>
      </w:r>
    </w:p>
    <w:p>
      <w:pPr>
        <w:pStyle w:val="Normal"/>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 xml:space="preserve">Žalobce dále trvá na tom, že žalovaný mu měl poskytnout všechny požadované informace. Žalovaný neprokázal, že existuje zákonný důvod, pro který by musel požadované informace odepřít. </w:t>
      </w:r>
    </w:p>
    <w:p>
      <w:pPr>
        <w:pStyle w:val="Normal"/>
        <w:widowControl/>
        <w:numPr>
          <w:ilvl w:val="0"/>
          <w:numId w:val="2"/>
        </w:numPr>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Ž</w:t>
      </w:r>
      <w:r>
        <w:rPr>
          <w:rFonts w:cs="Times New Roman" w:ascii="TakaoPGothic" w:hAnsi="TakaoPGothic"/>
          <w:b w:val="false"/>
          <w:bCs w:val="false"/>
          <w:sz w:val="24"/>
          <w:szCs w:val="24"/>
          <w:u w:val="none"/>
          <w:shd w:fill="FFFFFF" w:val="clear"/>
        </w:rPr>
        <w:t>alobce tedy částečně bere zpět návrh rozsudku ve své žalobě, a to tak, že bod č. 2 mění na následující:</w:t>
      </w:r>
    </w:p>
    <w:p>
      <w:pPr>
        <w:pStyle w:val="ListParagraph"/>
        <w:spacing w:lineRule="auto" w:line="312" w:before="0" w:after="113"/>
        <w:jc w:val="both"/>
        <w:rPr>
          <w:rFonts w:cs="Times New Roman" w:ascii="TakaoPGothic" w:hAnsi="TakaoPGothic"/>
          <w:sz w:val="24"/>
          <w:szCs w:val="24"/>
          <w:shd w:fill="FFFFFF" w:val="clear"/>
        </w:rPr>
      </w:pPr>
      <w:r>
        <w:rPr>
          <w:rFonts w:cs="Times New Roman" w:ascii="TakaoPGothic" w:hAnsi="TakaoPGothic"/>
          <w:b w:val="false"/>
          <w:bCs w:val="false"/>
          <w:sz w:val="24"/>
          <w:szCs w:val="24"/>
          <w:u w:val="none"/>
          <w:shd w:fill="FFFFFF" w:val="clear"/>
        </w:rPr>
        <w:t>Žalovan</w:t>
      </w:r>
      <w:r>
        <w:rPr>
          <w:rFonts w:cs="Times New Roman" w:ascii="TakaoPGothic" w:hAnsi="TakaoPGothic"/>
          <w:b w:val="false"/>
          <w:bCs w:val="false"/>
          <w:sz w:val="24"/>
          <w:szCs w:val="24"/>
          <w:u w:val="none"/>
          <w:shd w:fill="FFFFFF" w:val="clear"/>
        </w:rPr>
        <w:t>é s</w:t>
      </w:r>
      <w:r>
        <w:rPr>
          <w:rFonts w:cs="Times New Roman" w:ascii="TakaoPGothic" w:hAnsi="TakaoPGothic"/>
          <w:sz w:val="24"/>
          <w:szCs w:val="24"/>
          <w:shd w:fill="FFFFFF" w:val="clear"/>
        </w:rPr>
        <w:t xml:space="preserve">e nařizuje poskytnout žalobci </w:t>
      </w:r>
      <w:r>
        <w:rPr>
          <w:rFonts w:cs="Times New Roman" w:ascii="TakaoPGothic" w:hAnsi="TakaoPGothic"/>
          <w:sz w:val="24"/>
          <w:szCs w:val="24"/>
          <w:shd w:fill="FFFFFF" w:val="clear"/>
        </w:rPr>
        <w:t xml:space="preserve">neposkytnuté </w:t>
      </w:r>
      <w:r>
        <w:rPr>
          <w:rFonts w:cs="Times New Roman" w:ascii="TakaoPGothic" w:hAnsi="TakaoPGothic"/>
          <w:sz w:val="24"/>
          <w:szCs w:val="24"/>
          <w:shd w:fill="FFFFFF" w:val="clear"/>
        </w:rPr>
        <w:t xml:space="preserve">informace v rozsahu jeho žádosti ze 28. 8. 2015, tedy: </w:t>
      </w:r>
      <w:r>
        <w:rPr>
          <w:rFonts w:cs="Times New Roman" w:ascii="TakaoPGothic" w:hAnsi="TakaoPGothic"/>
          <w:sz w:val="24"/>
          <w:szCs w:val="24"/>
          <w:shd w:fill="FFFFFF" w:val="clear"/>
        </w:rPr>
        <w:t>1</w:t>
      </w:r>
      <w:r>
        <w:rPr>
          <w:rFonts w:cs="Times New Roman" w:ascii="TakaoPGothic" w:hAnsi="TakaoPGothic"/>
          <w:sz w:val="24"/>
          <w:szCs w:val="24"/>
          <w:shd w:fill="FFFFFF" w:val="clear"/>
        </w:rPr>
        <w:t xml:space="preserve">. výše měsíčních odměn členů dozorčích rad a představenstev v jednotlivých akciových společnostech, které ovládá obchodní společnost Pražská </w:t>
      </w:r>
      <w:r>
        <w:rPr>
          <w:rFonts w:cs="Times New Roman" w:ascii="TakaoPGothic" w:hAnsi="TakaoPGothic"/>
          <w:sz w:val="24"/>
          <w:szCs w:val="24"/>
          <w:shd w:fill="FFFFFF" w:val="clear"/>
        </w:rPr>
        <w:t>plynárenská</w:t>
      </w:r>
      <w:r>
        <w:rPr>
          <w:rFonts w:cs="Times New Roman" w:ascii="TakaoPGothic" w:hAnsi="TakaoPGothic"/>
          <w:sz w:val="24"/>
          <w:szCs w:val="24"/>
          <w:shd w:fill="FFFFFF" w:val="clear"/>
        </w:rPr>
        <w:t xml:space="preserve"> Holding, a.s., ať už přímo či nepřímo skrze dceřinou obchodní společnost (tedy např. </w:t>
      </w:r>
      <w:r>
        <w:rPr>
          <w:rFonts w:cs="Times New Roman" w:ascii="TakaoPGothic" w:hAnsi="TakaoPGothic"/>
          <w:sz w:val="24"/>
          <w:szCs w:val="24"/>
          <w:shd w:fill="FFFFFF" w:val="clear"/>
        </w:rPr>
        <w:t>Pražská plynárenská, a.s., Informační služby – energetika, a.s., Pražská plynárenská Distribuce, a.s.</w:t>
      </w:r>
      <w:r>
        <w:rPr>
          <w:rFonts w:cs="Times New Roman" w:ascii="TakaoPGothic" w:hAnsi="TakaoPGothic"/>
          <w:sz w:val="24"/>
          <w:szCs w:val="24"/>
          <w:shd w:fill="FFFFFF" w:val="clear"/>
        </w:rPr>
        <w:t xml:space="preserve">  atd.), </w:t>
      </w:r>
      <w:r>
        <w:rPr>
          <w:rFonts w:cs="Times New Roman" w:ascii="TakaoPGothic" w:hAnsi="TakaoPGothic"/>
          <w:sz w:val="24"/>
          <w:szCs w:val="24"/>
          <w:shd w:fill="FFFFFF" w:val="clear"/>
        </w:rPr>
        <w:t>2</w:t>
      </w:r>
      <w:r>
        <w:rPr>
          <w:rFonts w:cs="Times New Roman" w:ascii="TakaoPGothic" w:hAnsi="TakaoPGothic"/>
          <w:sz w:val="24"/>
          <w:szCs w:val="24"/>
          <w:shd w:fill="FFFFFF" w:val="clear"/>
        </w:rPr>
        <w:t>. výše mimořádných odměn členů dozorčích rad a představenstev těchto akciových společností za roky 2012-2014,</w:t>
      </w:r>
    </w:p>
    <w:p>
      <w:pPr>
        <w:pStyle w:val="ListParagraph"/>
        <w:widowControl/>
        <w:suppressAutoHyphens w:val="true"/>
        <w:bidi w:val="0"/>
        <w:spacing w:lineRule="auto" w:line="312" w:before="0" w:after="113"/>
        <w:jc w:val="both"/>
        <w:rPr>
          <w:rFonts w:cs="Times New Roman" w:ascii="TakaoPGothic" w:hAnsi="TakaoPGothic"/>
          <w:b w:val="false"/>
          <w:bCs w:val="false"/>
          <w:sz w:val="24"/>
          <w:szCs w:val="24"/>
          <w:u w:val="none"/>
          <w:shd w:fill="FFFFFF" w:val="clear"/>
        </w:rPr>
      </w:pPr>
      <w:r>
        <w:rPr>
          <w:rFonts w:cs="Times New Roman" w:ascii="TakaoPGothic" w:hAnsi="TakaoPGothic"/>
          <w:b w:val="false"/>
          <w:bCs w:val="false"/>
          <w:sz w:val="24"/>
          <w:szCs w:val="24"/>
          <w:u w:val="none"/>
          <w:shd w:fill="FFFFFF" w:val="clear"/>
        </w:rPr>
        <w:t>a to do 15 dnů od právní moci rozsudku.</w:t>
      </w:r>
    </w:p>
    <w:p>
      <w:pPr>
        <w:pStyle w:val="ListParagraph"/>
        <w:widowControl/>
        <w:suppressAutoHyphens w:val="true"/>
        <w:bidi w:val="0"/>
        <w:spacing w:lineRule="auto" w:line="312" w:before="0" w:after="113"/>
        <w:jc w:val="both"/>
        <w:rPr>
          <w:rFonts w:cs="Times New Roman" w:ascii="TakaoPGothic" w:hAnsi="TakaoPGothic"/>
          <w:b/>
          <w:sz w:val="24"/>
          <w:szCs w:val="24"/>
          <w:shd w:fill="FFFFFF" w:val="clear"/>
        </w:rPr>
      </w:pPr>
      <w:r>
        <w:rPr>
          <w:rFonts w:cs="Times New Roman" w:ascii="TakaoPGothic" w:hAnsi="TakaoPGothic"/>
          <w:b/>
          <w:sz w:val="24"/>
          <w:szCs w:val="24"/>
          <w:shd w:fill="FFFFFF" w:val="clear"/>
        </w:rPr>
      </w:r>
    </w:p>
    <w:p>
      <w:pPr>
        <w:pStyle w:val="Normal"/>
        <w:widowControl/>
        <w:suppressAutoHyphens w:val="true"/>
        <w:bidi w:val="0"/>
        <w:spacing w:lineRule="auto" w:line="312" w:before="0" w:after="113"/>
        <w:jc w:val="right"/>
        <w:rPr>
          <w:rFonts w:cs="Times New Roman" w:ascii="TakaoPGothic" w:hAnsi="TakaoPGothic"/>
          <w:b/>
          <w:bCs/>
          <w:sz w:val="24"/>
          <w:szCs w:val="24"/>
          <w:u w:val="none"/>
          <w:shd w:fill="FFFFFF" w:val="clear"/>
        </w:rPr>
      </w:pPr>
      <w:r>
        <w:rPr>
          <w:rFonts w:cs="Times New Roman" w:ascii="TakaoPGothic" w:hAnsi="TakaoPGothic"/>
          <w:b/>
          <w:bCs/>
          <w:sz w:val="24"/>
          <w:szCs w:val="24"/>
          <w:u w:val="none"/>
          <w:shd w:fill="FFFFFF" w:val="clear"/>
        </w:rPr>
        <w:t>Adam Zábranský</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TakaoPGothic">
    <w:charset w:val="01"/>
    <w:family w:val="roman"/>
    <w:pitch w:val="variable"/>
  </w:font>
  <w:font w:name="TakaoPGothic">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cs-CZ"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cs-CZ" w:eastAsia="zh-CN" w:bidi="hi-IN"/>
    </w:rPr>
  </w:style>
  <w:style w:type="paragraph" w:styleId="Nadpis1">
    <w:name w:val="Nadpis 1"/>
    <w:basedOn w:val="Nadpis"/>
    <w:next w:val="Tlotextu"/>
    <w:pPr>
      <w:numPr>
        <w:ilvl w:val="0"/>
        <w:numId w:val="1"/>
      </w:numPr>
      <w:spacing w:before="240" w:after="120"/>
      <w:outlineLvl w:val="0"/>
      <w:outlineLvl w:val="0"/>
    </w:pPr>
    <w:rPr>
      <w:b/>
      <w:bCs/>
      <w:sz w:val="36"/>
      <w:szCs w:val="36"/>
    </w:rPr>
  </w:style>
  <w:style w:type="paragraph" w:styleId="Nadpis2">
    <w:name w:val="Nadpis 2"/>
    <w:basedOn w:val="Nadpis"/>
    <w:next w:val="Tlotextu"/>
    <w:pPr>
      <w:numPr>
        <w:ilvl w:val="1"/>
        <w:numId w:val="1"/>
      </w:numPr>
      <w:spacing w:before="200" w:after="120"/>
      <w:outlineLvl w:val="1"/>
      <w:outlineLvl w:val="1"/>
    </w:pPr>
    <w:rPr>
      <w:b/>
      <w:bCs/>
      <w:sz w:val="32"/>
      <w:szCs w:val="32"/>
    </w:rPr>
  </w:style>
  <w:style w:type="paragraph" w:styleId="Nadpis3">
    <w:name w:val="Nadpis 3"/>
    <w:basedOn w:val="Nadpis"/>
    <w:next w:val="Tlotextu"/>
    <w:pPr>
      <w:numPr>
        <w:ilvl w:val="2"/>
        <w:numId w:val="1"/>
      </w:numPr>
      <w:spacing w:before="140" w:after="120"/>
      <w:outlineLvl w:val="2"/>
      <w:outlineLvl w:val="2"/>
    </w:pPr>
    <w:rPr>
      <w:b/>
      <w:bCs/>
      <w:color w:val="808080"/>
      <w:sz w:val="28"/>
      <w:szCs w:val="28"/>
    </w:rPr>
  </w:style>
  <w:style w:type="character" w:styleId="Silnzdraznn">
    <w:name w:val="Silné zdůraznění"/>
    <w:rPr>
      <w:b/>
      <w:bCs/>
    </w:rPr>
  </w:style>
  <w:style w:type="character" w:styleId="ListLabel4">
    <w:name w:val="ListLabel 4"/>
    <w:rPr>
      <w:b w:val="false"/>
    </w:rPr>
  </w:style>
  <w:style w:type="paragraph" w:styleId="Nadpis">
    <w:name w:val="Nadpis"/>
    <w:basedOn w:val="Normal"/>
    <w:next w:val="Tlotextu"/>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NoSpacing">
    <w:name w:val="No Spacing"/>
    <w:pPr>
      <w:widowControl/>
      <w:suppressAutoHyphens w:val="true"/>
      <w:bidi w:val="0"/>
      <w:spacing w:lineRule="auto" w:line="240" w:before="0" w:after="0"/>
      <w:jc w:val="left"/>
    </w:pPr>
    <w:rPr>
      <w:rFonts w:ascii="Calibri" w:hAnsi="Calibri" w:eastAsia="Droid Sans Fallback" w:cs="Calibri"/>
      <w:color w:val="00000A"/>
      <w:sz w:val="22"/>
      <w:szCs w:val="22"/>
      <w:lang w:val="cs-CZ" w:eastAsia="en-US" w:bidi="ar-SA"/>
    </w:rPr>
  </w:style>
  <w:style w:type="paragraph" w:styleId="ListParagraph">
    <w:name w:val="List Paragraph"/>
    <w:basedOn w:val="Normal"/>
    <w:pPr>
      <w:spacing w:before="0" w:after="200"/>
      <w:ind w:left="720" w:right="0" w:hanging="0"/>
      <w:contextualSpacing/>
    </w:pPr>
    <w:rPr/>
  </w:style>
  <w:style w:type="paragraph" w:styleId="Citace">
    <w:name w:val="Citace"/>
    <w:basedOn w:val="Normal"/>
    <w:pPr>
      <w:spacing w:before="0" w:after="283"/>
      <w:ind w:left="567" w:right="567" w:hanging="0"/>
    </w:pPr>
    <w:rPr/>
  </w:style>
  <w:style w:type="paragraph" w:styleId="Nzev">
    <w:name w:val="Název"/>
    <w:basedOn w:val="Nadpis"/>
    <w:next w:val="Tlotextu"/>
    <w:pPr>
      <w:jc w:val="center"/>
    </w:pPr>
    <w:rPr>
      <w:b/>
      <w:bCs/>
      <w:sz w:val="56"/>
      <w:szCs w:val="56"/>
    </w:rPr>
  </w:style>
  <w:style w:type="paragraph" w:styleId="Podtitul">
    <w:name w:val="Podtitul"/>
    <w:basedOn w:val="Nadpis"/>
    <w:next w:val="Tlotextu"/>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2016-03-25T09:44:18Z</dcterms:created>
  <dc:language>cs-CZ</dc:language>
  <cp:revision>0</cp:revision>
</cp:coreProperties>
</file>